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3CDE4C" w14:textId="59A10963" w:rsidR="003F2185" w:rsidRPr="00B43818" w:rsidRDefault="003F2185" w:rsidP="003F2185">
      <w:pPr>
        <w:pStyle w:val="CRCoverPage"/>
        <w:tabs>
          <w:tab w:val="left" w:pos="1980"/>
        </w:tabs>
        <w:rPr>
          <w:rFonts w:ascii="Times New Roman" w:eastAsia="SimSun" w:hAnsi="Times New Roman"/>
          <w:b/>
          <w:sz w:val="24"/>
          <w:lang w:val="en-US" w:eastAsia="zh-CN"/>
        </w:rPr>
      </w:pPr>
      <w:r w:rsidRPr="00B43818">
        <w:rPr>
          <w:rFonts w:ascii="Times New Roman" w:eastAsia="SimSun" w:hAnsi="Times New Roman"/>
          <w:b/>
          <w:sz w:val="24"/>
          <w:lang w:val="en-US" w:eastAsia="zh-CN"/>
        </w:rPr>
        <w:t xml:space="preserve">3GPP TSG RAN WG1 </w:t>
      </w:r>
      <w:r>
        <w:rPr>
          <w:rFonts w:ascii="Times New Roman" w:eastAsia="SimSun" w:hAnsi="Times New Roman"/>
          <w:b/>
          <w:sz w:val="24"/>
          <w:lang w:val="en-US" w:eastAsia="zh-CN"/>
        </w:rPr>
        <w:t>#88bis</w:t>
      </w:r>
      <w:r w:rsidRPr="00B43818">
        <w:rPr>
          <w:rFonts w:ascii="Times New Roman" w:eastAsia="SimSun" w:hAnsi="Times New Roman"/>
          <w:b/>
          <w:sz w:val="24"/>
          <w:lang w:val="en-US" w:eastAsia="zh-CN"/>
        </w:rPr>
        <w:t xml:space="preserve"> Meeting</w:t>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t xml:space="preserve">    </w:t>
      </w:r>
      <w:r w:rsidR="00A112E3" w:rsidRPr="00A112E3">
        <w:rPr>
          <w:rFonts w:ascii="Times New Roman" w:eastAsia="SimSun" w:hAnsi="Times New Roman"/>
          <w:b/>
          <w:sz w:val="24"/>
          <w:lang w:val="en-US" w:eastAsia="zh-CN"/>
        </w:rPr>
        <w:t>R1-1705517</w:t>
      </w:r>
    </w:p>
    <w:p w14:paraId="1928E7F2" w14:textId="77777777" w:rsidR="003F2185" w:rsidRPr="00B43818" w:rsidRDefault="003F2185" w:rsidP="003F2185">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Spokane</w:t>
      </w:r>
      <w:r w:rsidRPr="00B43818">
        <w:rPr>
          <w:rFonts w:ascii="Times New Roman" w:eastAsia="SimSun" w:hAnsi="Times New Roman"/>
          <w:b/>
          <w:sz w:val="24"/>
          <w:lang w:val="en-US" w:eastAsia="zh-CN"/>
        </w:rPr>
        <w:t xml:space="preserve">, </w:t>
      </w:r>
      <w:r>
        <w:rPr>
          <w:rFonts w:ascii="Times New Roman" w:eastAsia="SimSun" w:hAnsi="Times New Roman"/>
          <w:b/>
          <w:sz w:val="24"/>
          <w:lang w:val="en-US" w:eastAsia="zh-CN"/>
        </w:rPr>
        <w:t>WA</w:t>
      </w:r>
      <w:r w:rsidRPr="00B43818">
        <w:rPr>
          <w:rFonts w:ascii="Times New Roman" w:eastAsia="SimSun" w:hAnsi="Times New Roman"/>
          <w:b/>
          <w:sz w:val="24"/>
          <w:lang w:val="en-US" w:eastAsia="zh-CN"/>
        </w:rPr>
        <w:t xml:space="preserve">, </w:t>
      </w:r>
      <w:r>
        <w:rPr>
          <w:rFonts w:ascii="Times New Roman" w:eastAsia="SimSun" w:hAnsi="Times New Roman"/>
          <w:b/>
          <w:sz w:val="24"/>
          <w:lang w:val="en-US" w:eastAsia="zh-CN"/>
        </w:rPr>
        <w:t>USA, 3</w:t>
      </w:r>
      <w:r>
        <w:rPr>
          <w:rFonts w:ascii="Times New Roman" w:eastAsia="SimSun" w:hAnsi="Times New Roman"/>
          <w:b/>
          <w:sz w:val="24"/>
          <w:vertAlign w:val="superscript"/>
          <w:lang w:val="en-US" w:eastAsia="zh-CN"/>
        </w:rPr>
        <w:t>rd</w:t>
      </w:r>
      <w:r w:rsidRPr="00B43818">
        <w:rPr>
          <w:rFonts w:ascii="Times New Roman" w:eastAsia="SimSun" w:hAnsi="Times New Roman"/>
          <w:b/>
          <w:sz w:val="24"/>
          <w:lang w:val="en-US" w:eastAsia="zh-CN"/>
        </w:rPr>
        <w:t xml:space="preserve"> – </w:t>
      </w:r>
      <w:r>
        <w:rPr>
          <w:rFonts w:ascii="Times New Roman" w:eastAsia="SimSun" w:hAnsi="Times New Roman"/>
          <w:b/>
          <w:sz w:val="24"/>
          <w:lang w:val="en-US" w:eastAsia="zh-CN"/>
        </w:rPr>
        <w:t>8</w:t>
      </w:r>
      <w:r w:rsidRPr="00B43818">
        <w:rPr>
          <w:rFonts w:ascii="Times New Roman" w:eastAsia="SimSun" w:hAnsi="Times New Roman"/>
          <w:b/>
          <w:sz w:val="24"/>
          <w:vertAlign w:val="superscript"/>
          <w:lang w:val="en-US" w:eastAsia="zh-CN"/>
        </w:rPr>
        <w:t>th</w:t>
      </w:r>
      <w:r w:rsidRPr="00B43818">
        <w:rPr>
          <w:rFonts w:ascii="Times New Roman" w:eastAsia="SimSun" w:hAnsi="Times New Roman"/>
          <w:b/>
          <w:sz w:val="24"/>
          <w:lang w:val="en-US" w:eastAsia="zh-CN"/>
        </w:rPr>
        <w:t xml:space="preserve"> </w:t>
      </w:r>
      <w:r>
        <w:rPr>
          <w:rFonts w:ascii="Times New Roman" w:eastAsia="SimSun" w:hAnsi="Times New Roman"/>
          <w:b/>
          <w:sz w:val="24"/>
          <w:lang w:val="en-US" w:eastAsia="zh-CN"/>
        </w:rPr>
        <w:t>April</w:t>
      </w:r>
      <w:r w:rsidRPr="00B43818">
        <w:rPr>
          <w:rFonts w:ascii="Times New Roman" w:eastAsia="SimSun" w:hAnsi="Times New Roman"/>
          <w:b/>
          <w:sz w:val="24"/>
          <w:lang w:val="en-US" w:eastAsia="zh-CN"/>
        </w:rPr>
        <w:t xml:space="preserve"> 2017</w:t>
      </w:r>
    </w:p>
    <w:p w14:paraId="0AF63363" w14:textId="77777777" w:rsidR="00293390" w:rsidRPr="00B43818" w:rsidRDefault="00293390" w:rsidP="00293390">
      <w:pPr>
        <w:pStyle w:val="CRCoverPage"/>
        <w:tabs>
          <w:tab w:val="left" w:pos="1980"/>
        </w:tabs>
        <w:jc w:val="both"/>
        <w:rPr>
          <w:rFonts w:ascii="Times New Roman" w:hAnsi="Times New Roman"/>
          <w:b/>
          <w:bCs/>
          <w:sz w:val="24"/>
          <w:lang w:val="en-US"/>
        </w:rPr>
      </w:pPr>
    </w:p>
    <w:p w14:paraId="6FA141D4" w14:textId="36BF54E8" w:rsidR="00FA20F7" w:rsidRPr="00B43818" w:rsidRDefault="00FA20F7" w:rsidP="00FC6469">
      <w:pPr>
        <w:pStyle w:val="CRCoverPage"/>
        <w:tabs>
          <w:tab w:val="left" w:pos="1980"/>
        </w:tabs>
        <w:jc w:val="both"/>
        <w:rPr>
          <w:rFonts w:ascii="Times New Roman" w:hAnsi="Times New Roman"/>
          <w:b/>
          <w:bCs/>
          <w:sz w:val="24"/>
          <w:lang w:val="en-US" w:eastAsia="ja-JP"/>
        </w:rPr>
      </w:pPr>
      <w:r w:rsidRPr="00B43818">
        <w:rPr>
          <w:rFonts w:ascii="Times New Roman" w:hAnsi="Times New Roman"/>
          <w:b/>
          <w:bCs/>
          <w:sz w:val="24"/>
          <w:lang w:val="en-US"/>
        </w:rPr>
        <w:t>Agenda Item:</w:t>
      </w:r>
      <w:r w:rsidRPr="00B43818">
        <w:rPr>
          <w:rFonts w:ascii="Times New Roman" w:hAnsi="Times New Roman"/>
          <w:b/>
          <w:bCs/>
          <w:sz w:val="24"/>
          <w:lang w:val="en-US"/>
        </w:rPr>
        <w:tab/>
      </w:r>
      <w:r w:rsidR="00507972" w:rsidRPr="00507972">
        <w:rPr>
          <w:rFonts w:ascii="Times New Roman" w:hAnsi="Times New Roman"/>
          <w:b/>
          <w:bCs/>
          <w:sz w:val="24"/>
          <w:lang w:val="en-US"/>
        </w:rPr>
        <w:t>8.1.3.1.</w:t>
      </w:r>
      <w:r w:rsidR="003F2185">
        <w:rPr>
          <w:rFonts w:ascii="Times New Roman" w:hAnsi="Times New Roman"/>
          <w:b/>
          <w:bCs/>
          <w:sz w:val="24"/>
          <w:lang w:val="en-US"/>
        </w:rPr>
        <w:t>2</w:t>
      </w:r>
    </w:p>
    <w:p w14:paraId="186753AF" w14:textId="77777777" w:rsidR="00FA20F7" w:rsidRPr="00B43818" w:rsidRDefault="0092027E" w:rsidP="00FA20F7">
      <w:pPr>
        <w:tabs>
          <w:tab w:val="left" w:pos="1985"/>
        </w:tabs>
        <w:rPr>
          <w:b/>
          <w:bCs/>
          <w:sz w:val="24"/>
          <w:lang w:val="en-US"/>
        </w:rPr>
      </w:pPr>
      <w:r w:rsidRPr="00B43818">
        <w:rPr>
          <w:b/>
          <w:bCs/>
          <w:sz w:val="24"/>
          <w:lang w:val="en-US"/>
        </w:rPr>
        <w:t>Source:</w:t>
      </w:r>
      <w:r w:rsidRPr="00B43818">
        <w:rPr>
          <w:b/>
          <w:bCs/>
          <w:sz w:val="24"/>
          <w:lang w:val="en-US"/>
        </w:rPr>
        <w:tab/>
        <w:t>InterDigital</w:t>
      </w:r>
      <w:r w:rsidR="00E17A3B" w:rsidRPr="00B43818">
        <w:rPr>
          <w:b/>
          <w:bCs/>
          <w:sz w:val="24"/>
          <w:lang w:val="en-US"/>
        </w:rPr>
        <w:t xml:space="preserve"> Communications</w:t>
      </w:r>
    </w:p>
    <w:p w14:paraId="4F02292E" w14:textId="4A4C3D8E" w:rsidR="00FA20F7" w:rsidRPr="00B43818" w:rsidRDefault="00FA20F7" w:rsidP="00FA20F7">
      <w:pPr>
        <w:ind w:left="1985" w:hanging="1985"/>
        <w:rPr>
          <w:b/>
          <w:bCs/>
          <w:lang w:val="en-US"/>
        </w:rPr>
      </w:pPr>
      <w:r w:rsidRPr="00B43818">
        <w:rPr>
          <w:b/>
          <w:bCs/>
          <w:sz w:val="24"/>
          <w:lang w:val="en-US"/>
        </w:rPr>
        <w:t>Title:</w:t>
      </w:r>
      <w:r w:rsidRPr="00B43818">
        <w:rPr>
          <w:b/>
          <w:bCs/>
          <w:sz w:val="24"/>
          <w:lang w:val="en-US"/>
        </w:rPr>
        <w:tab/>
      </w:r>
      <w:r w:rsidR="0087229F" w:rsidRPr="00B43818">
        <w:rPr>
          <w:b/>
          <w:bCs/>
          <w:sz w:val="24"/>
          <w:lang w:val="en-US"/>
        </w:rPr>
        <w:t>On</w:t>
      </w:r>
      <w:r w:rsidR="000D503F" w:rsidRPr="00B43818">
        <w:rPr>
          <w:b/>
          <w:bCs/>
          <w:sz w:val="24"/>
          <w:lang w:val="en-US"/>
        </w:rPr>
        <w:t xml:space="preserve"> </w:t>
      </w:r>
      <w:r w:rsidR="005E7E34">
        <w:rPr>
          <w:b/>
          <w:bCs/>
          <w:sz w:val="24"/>
          <w:lang w:val="en-US"/>
        </w:rPr>
        <w:t xml:space="preserve">Localized and Distributed </w:t>
      </w:r>
      <w:r w:rsidR="00F33FBA">
        <w:rPr>
          <w:b/>
          <w:bCs/>
          <w:sz w:val="24"/>
          <w:lang w:val="en-US"/>
        </w:rPr>
        <w:t xml:space="preserve">NR-PDCCH </w:t>
      </w:r>
      <w:r w:rsidR="005E7E34">
        <w:rPr>
          <w:b/>
          <w:bCs/>
          <w:sz w:val="24"/>
          <w:lang w:val="en-US"/>
        </w:rPr>
        <w:t>Design</w:t>
      </w:r>
    </w:p>
    <w:p w14:paraId="20F2A3ED" w14:textId="45C3877F" w:rsidR="00FA20F7" w:rsidRPr="00B43818" w:rsidRDefault="00A51E32" w:rsidP="00FA20F7">
      <w:pPr>
        <w:ind w:left="1985" w:hanging="1985"/>
        <w:rPr>
          <w:b/>
          <w:bCs/>
          <w:sz w:val="24"/>
          <w:lang w:val="en-US"/>
        </w:rPr>
      </w:pPr>
      <w:r w:rsidRPr="00B43818">
        <w:rPr>
          <w:b/>
          <w:bCs/>
          <w:sz w:val="24"/>
          <w:lang w:val="en-US"/>
        </w:rPr>
        <w:t>Document for:</w:t>
      </w:r>
      <w:r w:rsidRPr="00B43818">
        <w:rPr>
          <w:b/>
          <w:bCs/>
          <w:sz w:val="24"/>
          <w:lang w:val="en-US"/>
        </w:rPr>
        <w:tab/>
        <w:t>Discussion</w:t>
      </w:r>
      <w:r w:rsidR="00CD15BB" w:rsidRPr="00B43818">
        <w:rPr>
          <w:b/>
          <w:bCs/>
          <w:sz w:val="24"/>
          <w:lang w:val="en-US"/>
        </w:rPr>
        <w:t xml:space="preserve"> and Decision</w:t>
      </w:r>
    </w:p>
    <w:p w14:paraId="7931F0A5" w14:textId="77777777" w:rsidR="00A0293F" w:rsidRPr="00B43818" w:rsidRDefault="00A0293F" w:rsidP="00FA20F7">
      <w:pPr>
        <w:ind w:left="1985" w:hanging="1985"/>
        <w:rPr>
          <w:b/>
          <w:bCs/>
          <w:sz w:val="24"/>
          <w:lang w:val="en-US"/>
        </w:rPr>
      </w:pPr>
    </w:p>
    <w:p w14:paraId="45A92109" w14:textId="77777777" w:rsidR="00261A3A" w:rsidRPr="00B43818" w:rsidRDefault="00A35469" w:rsidP="00C34D28">
      <w:pPr>
        <w:pStyle w:val="Heading1"/>
        <w:rPr>
          <w:rFonts w:ascii="Times New Roman" w:hAnsi="Times New Roman"/>
          <w:b/>
          <w:sz w:val="32"/>
          <w:szCs w:val="32"/>
        </w:rPr>
      </w:pPr>
      <w:r w:rsidRPr="00B43818">
        <w:rPr>
          <w:rFonts w:ascii="Times New Roman" w:hAnsi="Times New Roman"/>
          <w:b/>
          <w:sz w:val="32"/>
          <w:szCs w:val="32"/>
        </w:rPr>
        <w:t>Introduction</w:t>
      </w:r>
    </w:p>
    <w:p w14:paraId="23393C89" w14:textId="12A899CA" w:rsidR="00EA7656" w:rsidRDefault="00453980" w:rsidP="004555E3">
      <w:pPr>
        <w:rPr>
          <w:szCs w:val="22"/>
        </w:rPr>
      </w:pPr>
      <w:r w:rsidRPr="00B43818">
        <w:rPr>
          <w:szCs w:val="22"/>
        </w:rPr>
        <w:t>In RAN</w:t>
      </w:r>
      <w:r w:rsidR="004555E3" w:rsidRPr="00B43818">
        <w:rPr>
          <w:szCs w:val="22"/>
        </w:rPr>
        <w:t>1</w:t>
      </w:r>
      <w:r w:rsidRPr="00B43818">
        <w:rPr>
          <w:szCs w:val="22"/>
        </w:rPr>
        <w:t xml:space="preserve"> </w:t>
      </w:r>
      <w:r w:rsidR="005266DD" w:rsidRPr="00B43818">
        <w:rPr>
          <w:szCs w:val="22"/>
        </w:rPr>
        <w:t>Meeting</w:t>
      </w:r>
      <w:r w:rsidR="00022932">
        <w:rPr>
          <w:szCs w:val="22"/>
        </w:rPr>
        <w:t xml:space="preserve"> #88</w:t>
      </w:r>
      <w:r w:rsidR="00C66A49" w:rsidRPr="00B43818">
        <w:rPr>
          <w:szCs w:val="22"/>
        </w:rPr>
        <w:t xml:space="preserve"> </w:t>
      </w:r>
      <w:r w:rsidR="005266DD" w:rsidRPr="00B43818">
        <w:rPr>
          <w:szCs w:val="22"/>
        </w:rPr>
        <w:fldChar w:fldCharType="begin"/>
      </w:r>
      <w:r w:rsidR="005266DD" w:rsidRPr="00B43818">
        <w:rPr>
          <w:szCs w:val="22"/>
        </w:rPr>
        <w:instrText xml:space="preserve"> REF _Ref455734493 \r \h </w:instrText>
      </w:r>
      <w:r w:rsidR="00C66A49" w:rsidRPr="00B43818">
        <w:rPr>
          <w:szCs w:val="22"/>
        </w:rPr>
        <w:instrText xml:space="preserve"> \* MERGEFORMAT </w:instrText>
      </w:r>
      <w:r w:rsidR="005266DD" w:rsidRPr="00B43818">
        <w:rPr>
          <w:szCs w:val="22"/>
        </w:rPr>
      </w:r>
      <w:r w:rsidR="005266DD" w:rsidRPr="00B43818">
        <w:rPr>
          <w:szCs w:val="22"/>
        </w:rPr>
        <w:fldChar w:fldCharType="separate"/>
      </w:r>
      <w:r w:rsidR="005266DD" w:rsidRPr="00B43818">
        <w:rPr>
          <w:szCs w:val="22"/>
        </w:rPr>
        <w:t>[1]</w:t>
      </w:r>
      <w:r w:rsidR="005266DD" w:rsidRPr="00B43818">
        <w:rPr>
          <w:szCs w:val="22"/>
        </w:rPr>
        <w:fldChar w:fldCharType="end"/>
      </w:r>
      <w:r w:rsidR="005266DD" w:rsidRPr="00B43818">
        <w:rPr>
          <w:szCs w:val="22"/>
        </w:rPr>
        <w:t xml:space="preserve">, </w:t>
      </w:r>
      <w:r w:rsidR="00C66A49" w:rsidRPr="00B43818">
        <w:rPr>
          <w:szCs w:val="22"/>
        </w:rPr>
        <w:t xml:space="preserve">there were agreements about </w:t>
      </w:r>
      <w:r w:rsidR="001517A7">
        <w:rPr>
          <w:szCs w:val="22"/>
        </w:rPr>
        <w:t xml:space="preserve">the </w:t>
      </w:r>
      <w:r w:rsidR="00817D6E">
        <w:rPr>
          <w:szCs w:val="22"/>
        </w:rPr>
        <w:t>localized and distributed</w:t>
      </w:r>
      <w:r w:rsidR="001517A7">
        <w:rPr>
          <w:szCs w:val="22"/>
        </w:rPr>
        <w:t xml:space="preserve"> NR-PDCCH</w:t>
      </w:r>
      <w:r w:rsidR="00817D6E">
        <w:rPr>
          <w:szCs w:val="22"/>
        </w:rPr>
        <w:t xml:space="preserve"> design</w:t>
      </w:r>
      <w:r w:rsidR="007F6F91">
        <w:rPr>
          <w:szCs w:val="22"/>
        </w:rPr>
        <w:t>, and the mapping of REGs to CCEs and CCEs to PDCCH candidates</w:t>
      </w:r>
      <w:r w:rsidR="001517A7">
        <w:rPr>
          <w:szCs w:val="22"/>
        </w:rPr>
        <w:t>:</w:t>
      </w:r>
    </w:p>
    <w:p w14:paraId="74DD5060" w14:textId="62E26B3F" w:rsidR="004555E3" w:rsidRPr="00F17D79" w:rsidRDefault="00737985" w:rsidP="004555E3">
      <w:pPr>
        <w:rPr>
          <w:szCs w:val="22"/>
        </w:rPr>
      </w:pPr>
      <w:r w:rsidRPr="00F17D79">
        <w:rPr>
          <w:szCs w:val="22"/>
        </w:rPr>
        <w:t xml:space="preserve"> </w:t>
      </w:r>
    </w:p>
    <w:p w14:paraId="1E2A2837" w14:textId="77777777" w:rsidR="007F6F91" w:rsidRPr="00AF1296" w:rsidRDefault="007F6F91" w:rsidP="007F6F91">
      <w:pPr>
        <w:rPr>
          <w:rFonts w:eastAsia="MS Mincho"/>
          <w:lang w:eastAsia="ja-JP"/>
        </w:rPr>
      </w:pPr>
      <w:r w:rsidRPr="00AF1296">
        <w:rPr>
          <w:rFonts w:eastAsia="MS Mincho"/>
          <w:highlight w:val="green"/>
          <w:lang w:eastAsia="ja-JP"/>
        </w:rPr>
        <w:t>Agreements</w:t>
      </w:r>
      <w:r w:rsidRPr="00AF1296">
        <w:rPr>
          <w:rFonts w:eastAsia="MS Mincho"/>
          <w:lang w:eastAsia="ja-JP"/>
        </w:rPr>
        <w:t>:</w:t>
      </w:r>
    </w:p>
    <w:p w14:paraId="5255848B" w14:textId="77777777" w:rsidR="007F6F91" w:rsidRPr="00544C8E" w:rsidRDefault="007F6F91" w:rsidP="007F6F91">
      <w:pPr>
        <w:pStyle w:val="ListParagraph"/>
        <w:numPr>
          <w:ilvl w:val="0"/>
          <w:numId w:val="23"/>
        </w:numPr>
        <w:spacing w:after="200" w:line="276" w:lineRule="auto"/>
        <w:contextualSpacing/>
        <w:rPr>
          <w:i/>
          <w:szCs w:val="20"/>
        </w:rPr>
      </w:pPr>
      <w:r w:rsidRPr="00544C8E">
        <w:rPr>
          <w:i/>
          <w:szCs w:val="20"/>
        </w:rPr>
        <w:t>NR-PDCCH can be mapped contiguously or non-contiguously in frequency</w:t>
      </w:r>
    </w:p>
    <w:p w14:paraId="35CABC09" w14:textId="77777777" w:rsidR="007F6F91" w:rsidRPr="00544C8E" w:rsidRDefault="007F6F91" w:rsidP="007F6F91">
      <w:pPr>
        <w:pStyle w:val="ListParagraph"/>
        <w:numPr>
          <w:ilvl w:val="0"/>
          <w:numId w:val="23"/>
        </w:numPr>
        <w:spacing w:after="200" w:line="276" w:lineRule="auto"/>
        <w:contextualSpacing/>
        <w:rPr>
          <w:i/>
          <w:szCs w:val="20"/>
        </w:rPr>
      </w:pPr>
      <w:r w:rsidRPr="00544C8E">
        <w:rPr>
          <w:i/>
          <w:szCs w:val="20"/>
        </w:rPr>
        <w:t>The following may be considered to achieve the above (in the physical domain)</w:t>
      </w:r>
    </w:p>
    <w:p w14:paraId="3D9C828E" w14:textId="77777777" w:rsidR="007F6F91" w:rsidRPr="00544C8E" w:rsidRDefault="007F6F91" w:rsidP="007F6F91">
      <w:pPr>
        <w:pStyle w:val="ListParagraph"/>
        <w:numPr>
          <w:ilvl w:val="1"/>
          <w:numId w:val="23"/>
        </w:numPr>
        <w:spacing w:after="200" w:line="276" w:lineRule="auto"/>
        <w:contextualSpacing/>
        <w:rPr>
          <w:i/>
          <w:szCs w:val="20"/>
        </w:rPr>
      </w:pPr>
      <w:r w:rsidRPr="00544C8E">
        <w:rPr>
          <w:i/>
          <w:szCs w:val="20"/>
        </w:rPr>
        <w:t xml:space="preserve">Option 1: Localized or distributed mapping of REGs to a CCE. </w:t>
      </w:r>
    </w:p>
    <w:p w14:paraId="384960E5" w14:textId="77777777" w:rsidR="007F6F91" w:rsidRPr="00544C8E" w:rsidRDefault="007F6F91" w:rsidP="007F6F91">
      <w:pPr>
        <w:pStyle w:val="ListParagraph"/>
        <w:numPr>
          <w:ilvl w:val="1"/>
          <w:numId w:val="23"/>
        </w:numPr>
        <w:spacing w:after="200" w:line="276" w:lineRule="auto"/>
        <w:contextualSpacing/>
        <w:rPr>
          <w:i/>
          <w:szCs w:val="20"/>
        </w:rPr>
      </w:pPr>
      <w:r w:rsidRPr="00544C8E">
        <w:rPr>
          <w:i/>
          <w:szCs w:val="20"/>
        </w:rPr>
        <w:t>Option 2: Localized mapping of REGs to a CCE. Localized or distributed mapping of CCEs when multiple CCEs are needed for an NR-PDCCH</w:t>
      </w:r>
    </w:p>
    <w:p w14:paraId="72170CD3" w14:textId="77777777" w:rsidR="007F6F91" w:rsidRPr="00544C8E" w:rsidRDefault="007F6F91" w:rsidP="007F6F91">
      <w:pPr>
        <w:pStyle w:val="ListParagraph"/>
        <w:numPr>
          <w:ilvl w:val="1"/>
          <w:numId w:val="23"/>
        </w:numPr>
        <w:spacing w:after="200" w:line="276" w:lineRule="auto"/>
        <w:contextualSpacing/>
        <w:rPr>
          <w:i/>
          <w:szCs w:val="20"/>
        </w:rPr>
      </w:pPr>
      <w:r w:rsidRPr="00544C8E">
        <w:rPr>
          <w:i/>
          <w:szCs w:val="20"/>
        </w:rPr>
        <w:t>Down-selection between Opt 1 and Opt 2 should be further discussed</w:t>
      </w:r>
    </w:p>
    <w:p w14:paraId="79540079" w14:textId="77777777" w:rsidR="007F6F91" w:rsidRPr="00544C8E" w:rsidRDefault="007F6F91" w:rsidP="007F6F91">
      <w:pPr>
        <w:pStyle w:val="ListParagraph"/>
        <w:numPr>
          <w:ilvl w:val="2"/>
          <w:numId w:val="23"/>
        </w:numPr>
        <w:spacing w:after="200" w:line="276" w:lineRule="auto"/>
        <w:contextualSpacing/>
        <w:rPr>
          <w:i/>
          <w:szCs w:val="20"/>
        </w:rPr>
      </w:pPr>
      <w:r w:rsidRPr="00544C8E">
        <w:rPr>
          <w:i/>
          <w:szCs w:val="20"/>
        </w:rPr>
        <w:t>Companies are encouraged to perform evaluations considering aspects such as channel estimation, frequency diversity, impact of resource reuse for NR-PDSCH, etc., especially for one CCE case</w:t>
      </w:r>
    </w:p>
    <w:p w14:paraId="26A30BAF" w14:textId="77777777" w:rsidR="007F6F91" w:rsidRPr="00CD7B77" w:rsidRDefault="007F6F91" w:rsidP="007F6F91">
      <w:pPr>
        <w:rPr>
          <w:rFonts w:eastAsia="MS Mincho"/>
          <w:lang w:eastAsia="ja-JP"/>
        </w:rPr>
      </w:pPr>
      <w:r w:rsidRPr="00CD7B77">
        <w:rPr>
          <w:rFonts w:eastAsia="MS Mincho"/>
          <w:highlight w:val="green"/>
          <w:lang w:eastAsia="ja-JP"/>
        </w:rPr>
        <w:t>Agreements</w:t>
      </w:r>
      <w:r w:rsidRPr="00CD7B77">
        <w:rPr>
          <w:rFonts w:eastAsia="MS Mincho"/>
          <w:lang w:eastAsia="ja-JP"/>
        </w:rPr>
        <w:t>:</w:t>
      </w:r>
    </w:p>
    <w:p w14:paraId="5803F770" w14:textId="77777777" w:rsidR="007F6F91" w:rsidRPr="00544C8E" w:rsidRDefault="007F6F91" w:rsidP="007F6F91">
      <w:pPr>
        <w:pStyle w:val="ListParagraph"/>
        <w:numPr>
          <w:ilvl w:val="0"/>
          <w:numId w:val="24"/>
        </w:numPr>
        <w:spacing w:after="200" w:line="276" w:lineRule="auto"/>
        <w:contextualSpacing/>
        <w:rPr>
          <w:i/>
          <w:szCs w:val="20"/>
        </w:rPr>
      </w:pPr>
      <w:r w:rsidRPr="00544C8E">
        <w:rPr>
          <w:i/>
          <w:szCs w:val="20"/>
        </w:rPr>
        <w:t>FFS details of mapping of NR-PDCCH in time and frequency, considering the following options:</w:t>
      </w:r>
    </w:p>
    <w:p w14:paraId="2B386CBD" w14:textId="77777777" w:rsidR="007F6F91" w:rsidRPr="00544C8E" w:rsidRDefault="007F6F91" w:rsidP="007F6F91">
      <w:pPr>
        <w:pStyle w:val="ListParagraph"/>
        <w:numPr>
          <w:ilvl w:val="1"/>
          <w:numId w:val="24"/>
        </w:numPr>
        <w:spacing w:after="200" w:line="276" w:lineRule="auto"/>
        <w:contextualSpacing/>
        <w:rPr>
          <w:i/>
          <w:szCs w:val="20"/>
        </w:rPr>
      </w:pPr>
      <w:r w:rsidRPr="00544C8E">
        <w:rPr>
          <w:i/>
          <w:szCs w:val="20"/>
        </w:rPr>
        <w:t xml:space="preserve">Frequency first mapping of REGs to CCEs, frequency first mapping of CCEs to search space candidate </w:t>
      </w:r>
    </w:p>
    <w:p w14:paraId="2EB05B77" w14:textId="77777777" w:rsidR="007F6F91" w:rsidRPr="00544C8E" w:rsidRDefault="007F6F91" w:rsidP="007F6F91">
      <w:pPr>
        <w:pStyle w:val="ListParagraph"/>
        <w:numPr>
          <w:ilvl w:val="1"/>
          <w:numId w:val="24"/>
        </w:numPr>
        <w:spacing w:after="200" w:line="276" w:lineRule="auto"/>
        <w:contextualSpacing/>
        <w:rPr>
          <w:i/>
          <w:szCs w:val="20"/>
        </w:rPr>
      </w:pPr>
      <w:r w:rsidRPr="00544C8E">
        <w:rPr>
          <w:i/>
          <w:szCs w:val="20"/>
        </w:rPr>
        <w:t>Time first mapping of REGs to CCEs, time first mapping of CCEs to search space candidate</w:t>
      </w:r>
    </w:p>
    <w:p w14:paraId="3EB19EAD" w14:textId="77777777" w:rsidR="007F6F91" w:rsidRPr="00544C8E" w:rsidRDefault="007F6F91" w:rsidP="007F6F91">
      <w:pPr>
        <w:pStyle w:val="ListParagraph"/>
        <w:numPr>
          <w:ilvl w:val="1"/>
          <w:numId w:val="24"/>
        </w:numPr>
        <w:spacing w:after="200" w:line="276" w:lineRule="auto"/>
        <w:contextualSpacing/>
        <w:rPr>
          <w:i/>
          <w:szCs w:val="20"/>
        </w:rPr>
      </w:pPr>
      <w:r w:rsidRPr="00544C8E">
        <w:rPr>
          <w:i/>
          <w:szCs w:val="20"/>
        </w:rPr>
        <w:t>Frequency first mapping of REGs to CCEs, time first mapping of CCEs to search space candidate</w:t>
      </w:r>
    </w:p>
    <w:p w14:paraId="3F212066" w14:textId="77777777" w:rsidR="007F6F91" w:rsidRPr="00544C8E" w:rsidRDefault="007F6F91" w:rsidP="007F6F91">
      <w:pPr>
        <w:pStyle w:val="ListParagraph"/>
        <w:numPr>
          <w:ilvl w:val="1"/>
          <w:numId w:val="24"/>
        </w:numPr>
        <w:spacing w:after="200" w:line="276" w:lineRule="auto"/>
        <w:contextualSpacing/>
        <w:rPr>
          <w:i/>
          <w:szCs w:val="20"/>
        </w:rPr>
      </w:pPr>
      <w:r w:rsidRPr="00544C8E">
        <w:rPr>
          <w:i/>
          <w:szCs w:val="20"/>
        </w:rPr>
        <w:t>Time first mapping of REGs to CCEs, frequency first mapping of CCEs to search space candidate</w:t>
      </w:r>
    </w:p>
    <w:p w14:paraId="74E4C2D1" w14:textId="77777777" w:rsidR="007F6F91" w:rsidRPr="00544C8E" w:rsidRDefault="007F6F91" w:rsidP="007F6F91">
      <w:pPr>
        <w:pStyle w:val="ListParagraph"/>
        <w:numPr>
          <w:ilvl w:val="1"/>
          <w:numId w:val="24"/>
        </w:numPr>
        <w:spacing w:after="200" w:line="276" w:lineRule="auto"/>
        <w:contextualSpacing/>
        <w:rPr>
          <w:i/>
          <w:szCs w:val="20"/>
        </w:rPr>
      </w:pPr>
      <w:r w:rsidRPr="00544C8E">
        <w:rPr>
          <w:i/>
          <w:szCs w:val="20"/>
        </w:rPr>
        <w:t>Down-selection should be discussed, including of the number of supported option(s)</w:t>
      </w:r>
    </w:p>
    <w:p w14:paraId="74921735" w14:textId="2D7FE50B" w:rsidR="005811CB" w:rsidRPr="00B43818" w:rsidRDefault="005811CB" w:rsidP="004E1513">
      <w:pPr>
        <w:rPr>
          <w:szCs w:val="22"/>
        </w:rPr>
      </w:pPr>
      <w:r w:rsidRPr="00B43818">
        <w:rPr>
          <w:szCs w:val="22"/>
        </w:rPr>
        <w:t>In this document</w:t>
      </w:r>
      <w:r w:rsidR="00544C8E">
        <w:rPr>
          <w:szCs w:val="22"/>
        </w:rPr>
        <w:t>,</w:t>
      </w:r>
      <w:r w:rsidRPr="00B43818">
        <w:rPr>
          <w:szCs w:val="22"/>
        </w:rPr>
        <w:t xml:space="preserve"> we discuss </w:t>
      </w:r>
      <w:r w:rsidR="00544C8E">
        <w:rPr>
          <w:szCs w:val="22"/>
        </w:rPr>
        <w:t>our views</w:t>
      </w:r>
      <w:r w:rsidR="00E45AFC" w:rsidRPr="00B43818">
        <w:rPr>
          <w:szCs w:val="22"/>
        </w:rPr>
        <w:t xml:space="preserve"> related </w:t>
      </w:r>
      <w:r w:rsidR="006A71BA">
        <w:rPr>
          <w:szCs w:val="22"/>
        </w:rPr>
        <w:t>to</w:t>
      </w:r>
      <w:r w:rsidR="00AC3CE2">
        <w:rPr>
          <w:szCs w:val="22"/>
        </w:rPr>
        <w:t xml:space="preserve"> design of </w:t>
      </w:r>
      <w:r w:rsidR="006A71BA">
        <w:rPr>
          <w:szCs w:val="22"/>
        </w:rPr>
        <w:t xml:space="preserve">localized and distributed </w:t>
      </w:r>
      <w:r w:rsidR="00AC3CE2">
        <w:rPr>
          <w:szCs w:val="22"/>
        </w:rPr>
        <w:t>NR-PDCCH</w:t>
      </w:r>
      <w:r w:rsidR="00E45AFC" w:rsidRPr="00B43818">
        <w:rPr>
          <w:szCs w:val="22"/>
        </w:rPr>
        <w:t>.</w:t>
      </w:r>
      <w:r w:rsidR="002D0F2A" w:rsidRPr="00B43818">
        <w:rPr>
          <w:szCs w:val="22"/>
        </w:rPr>
        <w:t xml:space="preserve"> </w:t>
      </w:r>
    </w:p>
    <w:p w14:paraId="52AA9378" w14:textId="32A9C365" w:rsidR="00EA7A01" w:rsidRPr="004F3116" w:rsidRDefault="00650983" w:rsidP="008A0B24">
      <w:pPr>
        <w:pStyle w:val="Heading1"/>
        <w:pBdr>
          <w:top w:val="single" w:sz="12" w:space="5" w:color="auto"/>
        </w:pBdr>
        <w:spacing w:after="120"/>
        <w:rPr>
          <w:rFonts w:ascii="Times New Roman" w:hAnsi="Times New Roman"/>
          <w:b/>
          <w:sz w:val="32"/>
          <w:szCs w:val="32"/>
          <w:lang w:val="en-US"/>
        </w:rPr>
      </w:pPr>
      <w:r>
        <w:rPr>
          <w:rFonts w:ascii="Times New Roman" w:hAnsi="Times New Roman"/>
          <w:b/>
          <w:sz w:val="32"/>
          <w:szCs w:val="32"/>
        </w:rPr>
        <w:t>Localiz</w:t>
      </w:r>
      <w:r w:rsidR="00225BDA">
        <w:rPr>
          <w:rFonts w:ascii="Times New Roman" w:hAnsi="Times New Roman"/>
          <w:b/>
          <w:sz w:val="32"/>
          <w:szCs w:val="32"/>
        </w:rPr>
        <w:t>ed and distributed</w:t>
      </w:r>
      <w:r w:rsidR="00FB30FF">
        <w:rPr>
          <w:rFonts w:ascii="Times New Roman" w:hAnsi="Times New Roman"/>
          <w:b/>
          <w:sz w:val="32"/>
          <w:szCs w:val="32"/>
        </w:rPr>
        <w:t xml:space="preserve"> NR-PDCCH </w:t>
      </w:r>
      <w:r w:rsidR="00225BDA">
        <w:rPr>
          <w:rFonts w:ascii="Times New Roman" w:hAnsi="Times New Roman"/>
          <w:b/>
          <w:sz w:val="32"/>
          <w:szCs w:val="32"/>
        </w:rPr>
        <w:t>and Hybrid CCEs</w:t>
      </w:r>
      <w:r w:rsidR="00B407D2" w:rsidRPr="00B43818">
        <w:rPr>
          <w:rFonts w:ascii="Times New Roman" w:hAnsi="Times New Roman"/>
          <w:b/>
          <w:sz w:val="32"/>
          <w:szCs w:val="32"/>
        </w:rPr>
        <w:t xml:space="preserve"> </w:t>
      </w:r>
      <w:r w:rsidR="004555E3" w:rsidRPr="00B43818">
        <w:rPr>
          <w:rFonts w:ascii="Times New Roman" w:hAnsi="Times New Roman"/>
          <w:b/>
          <w:sz w:val="32"/>
          <w:szCs w:val="32"/>
        </w:rPr>
        <w:t xml:space="preserve"> </w:t>
      </w:r>
    </w:p>
    <w:p w14:paraId="2477416C" w14:textId="02FF3D29" w:rsidR="00022932" w:rsidRDefault="00544C8E" w:rsidP="00C91948">
      <w:pPr>
        <w:keepNext/>
        <w:suppressAutoHyphens/>
        <w:spacing w:before="240" w:after="60" w:line="360" w:lineRule="auto"/>
        <w:outlineLvl w:val="0"/>
      </w:pPr>
      <w:r>
        <w:t>Based on the recent agreements, e</w:t>
      </w:r>
      <w:r w:rsidR="00022932">
        <w:t xml:space="preserve">ach CCE consists of a </w:t>
      </w:r>
      <w:r w:rsidR="0081624C">
        <w:t>fix</w:t>
      </w:r>
      <w:r>
        <w:t>ed</w:t>
      </w:r>
      <w:r w:rsidR="0081624C">
        <w:t xml:space="preserve"> </w:t>
      </w:r>
      <w:r w:rsidR="00022932" w:rsidRPr="00254629">
        <w:t>number of REGs</w:t>
      </w:r>
      <w:r w:rsidR="00022932">
        <w:t xml:space="preserve"> (e.g. 4</w:t>
      </w:r>
      <w:r>
        <w:t>-8</w:t>
      </w:r>
      <w:r w:rsidR="00022932">
        <w:t xml:space="preserve">), as shown in </w:t>
      </w:r>
      <w:r w:rsidR="00022932">
        <w:fldChar w:fldCharType="begin"/>
      </w:r>
      <w:r w:rsidR="00022932">
        <w:instrText xml:space="preserve"> REF _Ref473547828 \h </w:instrText>
      </w:r>
      <w:r w:rsidR="00022932">
        <w:fldChar w:fldCharType="separate"/>
      </w:r>
      <w:r w:rsidR="003A0DF3">
        <w:t xml:space="preserve">Figure </w:t>
      </w:r>
      <w:r w:rsidR="003A0DF3">
        <w:rPr>
          <w:rFonts w:ascii="Times New Roman Bold" w:hAnsi="Times New Roman Bold"/>
          <w:noProof/>
        </w:rPr>
        <w:t>1</w:t>
      </w:r>
      <w:r w:rsidR="00022932">
        <w:fldChar w:fldCharType="end"/>
      </w:r>
      <w:r w:rsidR="00022932">
        <w:t xml:space="preserve">. The REGs of a CCE can be locally allocated (i.e. be adjacent in time or frequency), or be distributed. </w:t>
      </w:r>
      <w:r>
        <w:t xml:space="preserve">In addition, </w:t>
      </w:r>
      <w:r w:rsidR="00022932">
        <w:t xml:space="preserve">REGs of a CCE can be on the same OFDM symbol or on different OFDM symbols. </w:t>
      </w:r>
      <w:r w:rsidR="00650983">
        <w:t xml:space="preserve">The mapping of </w:t>
      </w:r>
      <w:r w:rsidR="00650983" w:rsidRPr="00650983">
        <w:t xml:space="preserve">REGs to CCEs can </w:t>
      </w:r>
      <w:r w:rsidR="00650983">
        <w:t xml:space="preserve">also be a </w:t>
      </w:r>
      <w:r w:rsidR="00650983" w:rsidRPr="00650983">
        <w:t>hybrid of localized and distributed</w:t>
      </w:r>
      <w:r w:rsidR="00650983">
        <w:t xml:space="preserve"> (i.e, localized in time and distributed in </w:t>
      </w:r>
      <w:r w:rsidR="00650983">
        <w:lastRenderedPageBreak/>
        <w:t>freuqnecy)</w:t>
      </w:r>
      <w:r w:rsidR="00650983" w:rsidRPr="00650983">
        <w:t>.</w:t>
      </w:r>
      <w:r w:rsidR="00650983">
        <w:t xml:space="preserve"> </w:t>
      </w:r>
      <w:r w:rsidR="00022932" w:rsidRPr="00534D51">
        <w:t xml:space="preserve">Each PDCCH candidate consists of one or more CCEs. </w:t>
      </w:r>
      <w:r w:rsidR="00022932">
        <w:t>There can be different methods for mapping REGs to CCEs, and mapping of CCEs to PDCCH candidates. Table 1 summari</w:t>
      </w:r>
      <w:r w:rsidR="00EE7795">
        <w:t>z</w:t>
      </w:r>
      <w:r w:rsidR="00022932">
        <w:t xml:space="preserve">es different options of REG-to-CCE and CCE-to </w:t>
      </w:r>
      <w:r w:rsidR="00C43634">
        <w:t xml:space="preserve">PDCCH </w:t>
      </w:r>
      <w:r w:rsidR="00022932">
        <w:t>candidate mappings.</w:t>
      </w:r>
    </w:p>
    <w:p w14:paraId="0E158928" w14:textId="77777777" w:rsidR="00022932" w:rsidRPr="00E978FE" w:rsidRDefault="00022932" w:rsidP="00022932">
      <w:pPr>
        <w:rPr>
          <w:sz w:val="24"/>
          <w:szCs w:val="24"/>
        </w:rPr>
      </w:pPr>
    </w:p>
    <w:tbl>
      <w:tblPr>
        <w:tblStyle w:val="TableGrid"/>
        <w:tblW w:w="9540" w:type="dxa"/>
        <w:tblInd w:w="-5" w:type="dxa"/>
        <w:tblLook w:val="04A0" w:firstRow="1" w:lastRow="0" w:firstColumn="1" w:lastColumn="0" w:noHBand="0" w:noVBand="1"/>
      </w:tblPr>
      <w:tblGrid>
        <w:gridCol w:w="1137"/>
        <w:gridCol w:w="1674"/>
        <w:gridCol w:w="2189"/>
        <w:gridCol w:w="2700"/>
        <w:gridCol w:w="1840"/>
      </w:tblGrid>
      <w:tr w:rsidR="00022932" w14:paraId="16B4C18E" w14:textId="77777777" w:rsidTr="00EE7795">
        <w:tc>
          <w:tcPr>
            <w:tcW w:w="1137" w:type="dxa"/>
            <w:tcBorders>
              <w:bottom w:val="double" w:sz="4" w:space="0" w:color="auto"/>
            </w:tcBorders>
          </w:tcPr>
          <w:p w14:paraId="6B3B6A7E" w14:textId="77777777" w:rsidR="00022932" w:rsidRPr="00EE7795" w:rsidRDefault="00022932" w:rsidP="00E978FE">
            <w:pPr>
              <w:pStyle w:val="BodyText"/>
              <w:spacing w:after="80"/>
              <w:rPr>
                <w:sz w:val="18"/>
                <w:szCs w:val="18"/>
              </w:rPr>
            </w:pPr>
          </w:p>
        </w:tc>
        <w:tc>
          <w:tcPr>
            <w:tcW w:w="1674" w:type="dxa"/>
            <w:tcBorders>
              <w:bottom w:val="double" w:sz="4" w:space="0" w:color="auto"/>
            </w:tcBorders>
          </w:tcPr>
          <w:p w14:paraId="61714EFE" w14:textId="5239929F" w:rsidR="00022932" w:rsidRPr="00EE7795" w:rsidRDefault="00022932" w:rsidP="00E978FE">
            <w:pPr>
              <w:pStyle w:val="BodyText"/>
              <w:spacing w:after="80"/>
              <w:jc w:val="center"/>
              <w:rPr>
                <w:b/>
                <w:sz w:val="18"/>
                <w:szCs w:val="18"/>
              </w:rPr>
            </w:pPr>
            <w:r w:rsidRPr="00EE7795">
              <w:rPr>
                <w:b/>
                <w:sz w:val="18"/>
                <w:szCs w:val="18"/>
              </w:rPr>
              <w:t>Time-first REG</w:t>
            </w:r>
            <w:r w:rsidR="004304BB">
              <w:rPr>
                <w:b/>
                <w:sz w:val="18"/>
                <w:szCs w:val="18"/>
              </w:rPr>
              <w:t>s</w:t>
            </w:r>
            <w:r w:rsidRPr="00EE7795">
              <w:rPr>
                <w:b/>
                <w:sz w:val="18"/>
                <w:szCs w:val="18"/>
              </w:rPr>
              <w:t xml:space="preserve"> to CCE</w:t>
            </w:r>
            <w:r w:rsidR="004304BB">
              <w:rPr>
                <w:b/>
                <w:sz w:val="18"/>
                <w:szCs w:val="18"/>
              </w:rPr>
              <w:t>s</w:t>
            </w:r>
            <w:r w:rsidRPr="00EE7795">
              <w:rPr>
                <w:b/>
                <w:sz w:val="18"/>
                <w:szCs w:val="18"/>
              </w:rPr>
              <w:t>,</w:t>
            </w:r>
          </w:p>
          <w:p w14:paraId="52F063C7" w14:textId="6162C40C" w:rsidR="00022932" w:rsidRPr="00EE7795" w:rsidRDefault="00022932" w:rsidP="00EE7795">
            <w:pPr>
              <w:pStyle w:val="BodyText"/>
              <w:spacing w:after="80"/>
              <w:jc w:val="center"/>
              <w:rPr>
                <w:b/>
                <w:sz w:val="18"/>
                <w:szCs w:val="18"/>
              </w:rPr>
            </w:pPr>
            <w:r w:rsidRPr="00EE7795">
              <w:rPr>
                <w:b/>
                <w:sz w:val="18"/>
                <w:szCs w:val="18"/>
              </w:rPr>
              <w:t>Time-first CCE</w:t>
            </w:r>
            <w:r w:rsidR="004304BB">
              <w:rPr>
                <w:b/>
                <w:sz w:val="18"/>
                <w:szCs w:val="18"/>
              </w:rPr>
              <w:t>s</w:t>
            </w:r>
            <w:r w:rsidRPr="00EE7795">
              <w:rPr>
                <w:b/>
                <w:sz w:val="18"/>
                <w:szCs w:val="18"/>
              </w:rPr>
              <w:t xml:space="preserve"> to </w:t>
            </w:r>
            <w:r w:rsidR="00EE7795" w:rsidRPr="00EE7795">
              <w:rPr>
                <w:b/>
                <w:sz w:val="18"/>
                <w:szCs w:val="18"/>
              </w:rPr>
              <w:t>PDCCH</w:t>
            </w:r>
          </w:p>
        </w:tc>
        <w:tc>
          <w:tcPr>
            <w:tcW w:w="2189" w:type="dxa"/>
            <w:tcBorders>
              <w:bottom w:val="double" w:sz="4" w:space="0" w:color="auto"/>
            </w:tcBorders>
          </w:tcPr>
          <w:p w14:paraId="6B30ACA5" w14:textId="68F8B7CA" w:rsidR="00022932" w:rsidRPr="00EE7795" w:rsidRDefault="00022932" w:rsidP="00E978FE">
            <w:pPr>
              <w:pStyle w:val="BodyText"/>
              <w:spacing w:after="80"/>
              <w:jc w:val="center"/>
              <w:rPr>
                <w:b/>
                <w:sz w:val="18"/>
                <w:szCs w:val="18"/>
              </w:rPr>
            </w:pPr>
            <w:r w:rsidRPr="00EE7795">
              <w:rPr>
                <w:b/>
                <w:sz w:val="18"/>
                <w:szCs w:val="18"/>
              </w:rPr>
              <w:t>Time-first REG</w:t>
            </w:r>
            <w:r w:rsidR="004304BB">
              <w:rPr>
                <w:b/>
                <w:sz w:val="18"/>
                <w:szCs w:val="18"/>
              </w:rPr>
              <w:t>s</w:t>
            </w:r>
            <w:r w:rsidRPr="00EE7795">
              <w:rPr>
                <w:b/>
                <w:sz w:val="18"/>
                <w:szCs w:val="18"/>
              </w:rPr>
              <w:t xml:space="preserve"> to CCE</w:t>
            </w:r>
            <w:r w:rsidR="004304BB">
              <w:rPr>
                <w:b/>
                <w:sz w:val="18"/>
                <w:szCs w:val="18"/>
              </w:rPr>
              <w:t>s</w:t>
            </w:r>
            <w:r w:rsidRPr="00EE7795">
              <w:rPr>
                <w:b/>
                <w:sz w:val="18"/>
                <w:szCs w:val="18"/>
              </w:rPr>
              <w:t>,</w:t>
            </w:r>
          </w:p>
          <w:p w14:paraId="455C3099" w14:textId="1C78A7D9" w:rsidR="00022932" w:rsidRPr="00EE7795" w:rsidRDefault="00022932" w:rsidP="00E978FE">
            <w:pPr>
              <w:pStyle w:val="BodyText"/>
              <w:spacing w:after="80"/>
              <w:jc w:val="center"/>
              <w:rPr>
                <w:b/>
                <w:sz w:val="18"/>
                <w:szCs w:val="18"/>
              </w:rPr>
            </w:pPr>
            <w:r w:rsidRPr="00EE7795">
              <w:rPr>
                <w:b/>
                <w:sz w:val="18"/>
                <w:szCs w:val="18"/>
              </w:rPr>
              <w:t>Frequency-first CCE</w:t>
            </w:r>
            <w:r w:rsidR="004304BB">
              <w:rPr>
                <w:b/>
                <w:sz w:val="18"/>
                <w:szCs w:val="18"/>
              </w:rPr>
              <w:t>s</w:t>
            </w:r>
            <w:r w:rsidRPr="00EE7795">
              <w:rPr>
                <w:b/>
                <w:sz w:val="18"/>
                <w:szCs w:val="18"/>
              </w:rPr>
              <w:t xml:space="preserve"> to </w:t>
            </w:r>
            <w:r w:rsidR="00EE7795" w:rsidRPr="00EE7795">
              <w:rPr>
                <w:b/>
                <w:sz w:val="18"/>
                <w:szCs w:val="18"/>
              </w:rPr>
              <w:t>PDCCH</w:t>
            </w:r>
          </w:p>
        </w:tc>
        <w:tc>
          <w:tcPr>
            <w:tcW w:w="2700" w:type="dxa"/>
            <w:tcBorders>
              <w:bottom w:val="double" w:sz="4" w:space="0" w:color="auto"/>
            </w:tcBorders>
          </w:tcPr>
          <w:p w14:paraId="7CC144C1" w14:textId="6DFE2E53" w:rsidR="00022932" w:rsidRPr="00EE7795" w:rsidRDefault="00022932" w:rsidP="00E978FE">
            <w:pPr>
              <w:pStyle w:val="BodyText"/>
              <w:spacing w:after="80"/>
              <w:jc w:val="center"/>
              <w:rPr>
                <w:b/>
                <w:sz w:val="18"/>
                <w:szCs w:val="18"/>
              </w:rPr>
            </w:pPr>
            <w:r w:rsidRPr="00EE7795">
              <w:rPr>
                <w:b/>
                <w:sz w:val="18"/>
                <w:szCs w:val="18"/>
              </w:rPr>
              <w:t>Frequency-first REG</w:t>
            </w:r>
            <w:r w:rsidR="004304BB">
              <w:rPr>
                <w:b/>
                <w:sz w:val="18"/>
                <w:szCs w:val="18"/>
              </w:rPr>
              <w:t>s</w:t>
            </w:r>
            <w:r w:rsidRPr="00EE7795">
              <w:rPr>
                <w:b/>
                <w:sz w:val="18"/>
                <w:szCs w:val="18"/>
              </w:rPr>
              <w:t xml:space="preserve"> to CCE</w:t>
            </w:r>
            <w:r w:rsidR="004304BB">
              <w:rPr>
                <w:b/>
                <w:sz w:val="18"/>
                <w:szCs w:val="18"/>
              </w:rPr>
              <w:t>s</w:t>
            </w:r>
            <w:r w:rsidRPr="00EE7795">
              <w:rPr>
                <w:b/>
                <w:sz w:val="18"/>
                <w:szCs w:val="18"/>
              </w:rPr>
              <w:t>,</w:t>
            </w:r>
          </w:p>
          <w:p w14:paraId="1D77A4E3" w14:textId="18A40323" w:rsidR="00022932" w:rsidRPr="00EE7795" w:rsidRDefault="00022932" w:rsidP="00E978FE">
            <w:pPr>
              <w:pStyle w:val="BodyText"/>
              <w:spacing w:after="80"/>
              <w:jc w:val="center"/>
              <w:rPr>
                <w:b/>
                <w:sz w:val="18"/>
                <w:szCs w:val="18"/>
              </w:rPr>
            </w:pPr>
            <w:r w:rsidRPr="00EE7795">
              <w:rPr>
                <w:b/>
                <w:sz w:val="18"/>
                <w:szCs w:val="18"/>
              </w:rPr>
              <w:t>Time-first CCE</w:t>
            </w:r>
            <w:r w:rsidR="004304BB">
              <w:rPr>
                <w:b/>
                <w:sz w:val="18"/>
                <w:szCs w:val="18"/>
              </w:rPr>
              <w:t>s</w:t>
            </w:r>
            <w:r w:rsidRPr="00EE7795">
              <w:rPr>
                <w:b/>
                <w:sz w:val="18"/>
                <w:szCs w:val="18"/>
              </w:rPr>
              <w:t xml:space="preserve"> to </w:t>
            </w:r>
            <w:r w:rsidR="00EE7795" w:rsidRPr="00EE7795">
              <w:rPr>
                <w:b/>
                <w:sz w:val="18"/>
                <w:szCs w:val="18"/>
              </w:rPr>
              <w:t>PDCCH</w:t>
            </w:r>
          </w:p>
        </w:tc>
        <w:tc>
          <w:tcPr>
            <w:tcW w:w="1840" w:type="dxa"/>
            <w:tcBorders>
              <w:bottom w:val="double" w:sz="4" w:space="0" w:color="auto"/>
            </w:tcBorders>
          </w:tcPr>
          <w:p w14:paraId="11FD6D36" w14:textId="3BBC7C20" w:rsidR="00022932" w:rsidRPr="00EE7795" w:rsidRDefault="00022932" w:rsidP="00E978FE">
            <w:pPr>
              <w:pStyle w:val="BodyText"/>
              <w:spacing w:after="80"/>
              <w:jc w:val="center"/>
              <w:rPr>
                <w:b/>
                <w:sz w:val="18"/>
                <w:szCs w:val="18"/>
              </w:rPr>
            </w:pPr>
            <w:r w:rsidRPr="00EE7795">
              <w:rPr>
                <w:b/>
                <w:sz w:val="18"/>
                <w:szCs w:val="18"/>
              </w:rPr>
              <w:t>Frequency-first REG</w:t>
            </w:r>
            <w:r w:rsidR="004304BB">
              <w:rPr>
                <w:b/>
                <w:sz w:val="18"/>
                <w:szCs w:val="18"/>
              </w:rPr>
              <w:t>s</w:t>
            </w:r>
            <w:r w:rsidRPr="00EE7795">
              <w:rPr>
                <w:b/>
                <w:sz w:val="18"/>
                <w:szCs w:val="18"/>
              </w:rPr>
              <w:t xml:space="preserve"> to CCE</w:t>
            </w:r>
            <w:r w:rsidR="004304BB">
              <w:rPr>
                <w:b/>
                <w:sz w:val="18"/>
                <w:szCs w:val="18"/>
              </w:rPr>
              <w:t>s</w:t>
            </w:r>
            <w:r w:rsidRPr="00EE7795">
              <w:rPr>
                <w:b/>
                <w:sz w:val="18"/>
                <w:szCs w:val="18"/>
              </w:rPr>
              <w:t>,</w:t>
            </w:r>
          </w:p>
          <w:p w14:paraId="425374CD" w14:textId="5C04DA12" w:rsidR="00022932" w:rsidRPr="00EE7795" w:rsidRDefault="00022932" w:rsidP="00E978FE">
            <w:pPr>
              <w:pStyle w:val="BodyText"/>
              <w:spacing w:after="80"/>
              <w:jc w:val="center"/>
              <w:rPr>
                <w:b/>
                <w:sz w:val="18"/>
                <w:szCs w:val="18"/>
              </w:rPr>
            </w:pPr>
            <w:r w:rsidRPr="00EE7795">
              <w:rPr>
                <w:b/>
                <w:sz w:val="18"/>
                <w:szCs w:val="18"/>
              </w:rPr>
              <w:t>Frequency-first CCE</w:t>
            </w:r>
            <w:r w:rsidR="004304BB">
              <w:rPr>
                <w:b/>
                <w:sz w:val="18"/>
                <w:szCs w:val="18"/>
              </w:rPr>
              <w:t>s</w:t>
            </w:r>
            <w:r w:rsidRPr="00EE7795">
              <w:rPr>
                <w:b/>
                <w:sz w:val="18"/>
                <w:szCs w:val="18"/>
              </w:rPr>
              <w:t xml:space="preserve"> to </w:t>
            </w:r>
            <w:r w:rsidR="00EE7795" w:rsidRPr="00EE7795">
              <w:rPr>
                <w:b/>
                <w:sz w:val="18"/>
                <w:szCs w:val="18"/>
              </w:rPr>
              <w:t>PDCCH</w:t>
            </w:r>
          </w:p>
        </w:tc>
      </w:tr>
      <w:tr w:rsidR="00735918" w14:paraId="75E7B7DD" w14:textId="77777777" w:rsidTr="00EE7795">
        <w:tc>
          <w:tcPr>
            <w:tcW w:w="1137" w:type="dxa"/>
            <w:tcBorders>
              <w:top w:val="double" w:sz="4" w:space="0" w:color="auto"/>
            </w:tcBorders>
          </w:tcPr>
          <w:p w14:paraId="0185DA34" w14:textId="2E74A58C" w:rsidR="00735918" w:rsidRPr="00EE7795" w:rsidRDefault="00735918" w:rsidP="00735918">
            <w:pPr>
              <w:pStyle w:val="BodyText"/>
              <w:spacing w:after="80"/>
              <w:rPr>
                <w:sz w:val="18"/>
                <w:szCs w:val="18"/>
              </w:rPr>
            </w:pPr>
            <w:r>
              <w:rPr>
                <w:sz w:val="18"/>
                <w:szCs w:val="18"/>
              </w:rPr>
              <w:t>Localized</w:t>
            </w:r>
            <w:r w:rsidRPr="00EE7795">
              <w:rPr>
                <w:sz w:val="18"/>
                <w:szCs w:val="18"/>
              </w:rPr>
              <w:t xml:space="preserve"> and distributed REG-to-CCE mapping </w:t>
            </w:r>
            <w:r>
              <w:rPr>
                <w:sz w:val="18"/>
                <w:szCs w:val="18"/>
              </w:rPr>
              <w:t>(Option 1)</w:t>
            </w:r>
          </w:p>
        </w:tc>
        <w:tc>
          <w:tcPr>
            <w:tcW w:w="1674" w:type="dxa"/>
            <w:tcBorders>
              <w:top w:val="double" w:sz="4" w:space="0" w:color="auto"/>
            </w:tcBorders>
          </w:tcPr>
          <w:p w14:paraId="0710AB20" w14:textId="4142369D" w:rsidR="00735918" w:rsidRPr="00EE7795" w:rsidRDefault="00735918" w:rsidP="00735918">
            <w:pPr>
              <w:pStyle w:val="BodyText"/>
              <w:spacing w:after="80"/>
              <w:rPr>
                <w:sz w:val="18"/>
                <w:szCs w:val="18"/>
              </w:rPr>
            </w:pPr>
            <w:r w:rsidRPr="00EE7795">
              <w:rPr>
                <w:sz w:val="18"/>
                <w:szCs w:val="18"/>
              </w:rPr>
              <w:t>Essentially not possible (all the available symbols in the control region will be filled after assigning REGs to CCEs)</w:t>
            </w:r>
          </w:p>
        </w:tc>
        <w:tc>
          <w:tcPr>
            <w:tcW w:w="2189" w:type="dxa"/>
            <w:tcBorders>
              <w:top w:val="double" w:sz="4" w:space="0" w:color="auto"/>
            </w:tcBorders>
          </w:tcPr>
          <w:p w14:paraId="2581A0E0" w14:textId="3FB5D4D5" w:rsidR="00735918" w:rsidRPr="00EE7795" w:rsidRDefault="00735918" w:rsidP="00735918">
            <w:pPr>
              <w:pStyle w:val="BodyText"/>
              <w:spacing w:after="80"/>
              <w:rPr>
                <w:sz w:val="18"/>
                <w:szCs w:val="18"/>
              </w:rPr>
            </w:pPr>
            <w:r w:rsidRPr="00EE7795">
              <w:rPr>
                <w:sz w:val="18"/>
                <w:szCs w:val="18"/>
              </w:rPr>
              <w:t xml:space="preserve">Adjacent REGs in time are assigned to a CCE for both </w:t>
            </w:r>
            <w:r>
              <w:rPr>
                <w:sz w:val="18"/>
                <w:szCs w:val="18"/>
              </w:rPr>
              <w:t>localized</w:t>
            </w:r>
            <w:r w:rsidRPr="00EE7795">
              <w:rPr>
                <w:sz w:val="18"/>
                <w:szCs w:val="18"/>
              </w:rPr>
              <w:t xml:space="preserve"> and distributed candidates, but for distributed</w:t>
            </w:r>
            <w:r>
              <w:rPr>
                <w:sz w:val="18"/>
                <w:szCs w:val="18"/>
              </w:rPr>
              <w:t xml:space="preserve"> case</w:t>
            </w:r>
            <w:r w:rsidRPr="00EE7795">
              <w:rPr>
                <w:sz w:val="18"/>
                <w:szCs w:val="18"/>
              </w:rPr>
              <w:t xml:space="preserve">, REGs of a CCE are not adjacent in frequency. </w:t>
            </w:r>
          </w:p>
        </w:tc>
        <w:tc>
          <w:tcPr>
            <w:tcW w:w="2700" w:type="dxa"/>
            <w:tcBorders>
              <w:top w:val="double" w:sz="4" w:space="0" w:color="auto"/>
            </w:tcBorders>
          </w:tcPr>
          <w:p w14:paraId="790583D5" w14:textId="145A9E42" w:rsidR="00735918" w:rsidRPr="00EE7795" w:rsidRDefault="00735918" w:rsidP="00CB1D49">
            <w:pPr>
              <w:pStyle w:val="BodyText"/>
              <w:spacing w:after="80"/>
              <w:rPr>
                <w:sz w:val="18"/>
                <w:szCs w:val="18"/>
              </w:rPr>
            </w:pPr>
            <w:r>
              <w:rPr>
                <w:sz w:val="18"/>
                <w:szCs w:val="18"/>
              </w:rPr>
              <w:t>RS aggregation among REGs in time is not possible</w:t>
            </w:r>
            <w:r w:rsidR="00CB1D49">
              <w:rPr>
                <w:sz w:val="18"/>
                <w:szCs w:val="18"/>
              </w:rPr>
              <w:t xml:space="preserve"> within a CCE but is possible</w:t>
            </w:r>
            <w:r>
              <w:rPr>
                <w:sz w:val="18"/>
                <w:szCs w:val="18"/>
              </w:rPr>
              <w:t xml:space="preserve"> through CCE aggregation.</w:t>
            </w:r>
          </w:p>
        </w:tc>
        <w:tc>
          <w:tcPr>
            <w:tcW w:w="1840" w:type="dxa"/>
            <w:tcBorders>
              <w:top w:val="double" w:sz="4" w:space="0" w:color="auto"/>
            </w:tcBorders>
          </w:tcPr>
          <w:p w14:paraId="639F6B64" w14:textId="0DABBFE0" w:rsidR="00735918" w:rsidRPr="00EE7795" w:rsidRDefault="00735918" w:rsidP="00C91948">
            <w:pPr>
              <w:pStyle w:val="BodyText"/>
              <w:spacing w:after="80"/>
              <w:rPr>
                <w:sz w:val="18"/>
                <w:szCs w:val="18"/>
              </w:rPr>
            </w:pPr>
            <w:r w:rsidRPr="00EE7795">
              <w:rPr>
                <w:sz w:val="18"/>
                <w:szCs w:val="18"/>
              </w:rPr>
              <w:t>RS aggregation is not possible</w:t>
            </w:r>
            <w:r w:rsidR="00C91948">
              <w:rPr>
                <w:sz w:val="18"/>
                <w:szCs w:val="18"/>
              </w:rPr>
              <w:t xml:space="preserve"> in time domain</w:t>
            </w:r>
            <w:r w:rsidRPr="00EE7795">
              <w:rPr>
                <w:sz w:val="18"/>
                <w:szCs w:val="18"/>
              </w:rPr>
              <w:t>. But beam switching</w:t>
            </w:r>
            <w:r w:rsidR="00C91948">
              <w:rPr>
                <w:sz w:val="18"/>
                <w:szCs w:val="18"/>
              </w:rPr>
              <w:t xml:space="preserve"> among UEs </w:t>
            </w:r>
            <w:r w:rsidRPr="00EE7795">
              <w:rPr>
                <w:sz w:val="18"/>
                <w:szCs w:val="18"/>
              </w:rPr>
              <w:t>is possible.</w:t>
            </w:r>
          </w:p>
        </w:tc>
      </w:tr>
      <w:tr w:rsidR="00735918" w14:paraId="4D526D3A" w14:textId="77777777" w:rsidTr="00EE7795">
        <w:tc>
          <w:tcPr>
            <w:tcW w:w="1137" w:type="dxa"/>
            <w:tcBorders>
              <w:top w:val="double" w:sz="4" w:space="0" w:color="auto"/>
            </w:tcBorders>
          </w:tcPr>
          <w:p w14:paraId="2F721956" w14:textId="3E3A3240" w:rsidR="00735918" w:rsidRPr="00EE7795" w:rsidRDefault="00735918" w:rsidP="00735918">
            <w:pPr>
              <w:pStyle w:val="BodyText"/>
              <w:spacing w:after="80"/>
              <w:rPr>
                <w:sz w:val="18"/>
                <w:szCs w:val="18"/>
              </w:rPr>
            </w:pPr>
            <w:r w:rsidRPr="00EE7795">
              <w:rPr>
                <w:sz w:val="18"/>
                <w:szCs w:val="18"/>
              </w:rPr>
              <w:t xml:space="preserve">Only </w:t>
            </w:r>
            <w:r>
              <w:rPr>
                <w:sz w:val="18"/>
                <w:szCs w:val="18"/>
              </w:rPr>
              <w:t>localized</w:t>
            </w:r>
            <w:r w:rsidRPr="00EE7795">
              <w:rPr>
                <w:sz w:val="18"/>
                <w:szCs w:val="18"/>
              </w:rPr>
              <w:t xml:space="preserve"> mapping of REG-to-CCE</w:t>
            </w:r>
            <w:r>
              <w:rPr>
                <w:sz w:val="18"/>
                <w:szCs w:val="18"/>
              </w:rPr>
              <w:t xml:space="preserve"> (Option 2)</w:t>
            </w:r>
          </w:p>
        </w:tc>
        <w:tc>
          <w:tcPr>
            <w:tcW w:w="1674" w:type="dxa"/>
            <w:tcBorders>
              <w:top w:val="double" w:sz="4" w:space="0" w:color="auto"/>
            </w:tcBorders>
          </w:tcPr>
          <w:p w14:paraId="4742CD49" w14:textId="7C37A5C4" w:rsidR="00735918" w:rsidRPr="00EE7795" w:rsidRDefault="00735918" w:rsidP="00735918">
            <w:pPr>
              <w:pStyle w:val="BodyText"/>
              <w:spacing w:after="80"/>
              <w:rPr>
                <w:sz w:val="18"/>
                <w:szCs w:val="18"/>
              </w:rPr>
            </w:pPr>
            <w:r w:rsidRPr="00EE7795">
              <w:rPr>
                <w:sz w:val="18"/>
                <w:szCs w:val="18"/>
              </w:rPr>
              <w:t>Essentially not possible</w:t>
            </w:r>
          </w:p>
        </w:tc>
        <w:tc>
          <w:tcPr>
            <w:tcW w:w="2189" w:type="dxa"/>
            <w:tcBorders>
              <w:top w:val="double" w:sz="4" w:space="0" w:color="auto"/>
            </w:tcBorders>
          </w:tcPr>
          <w:p w14:paraId="68CA4993" w14:textId="7D4A160B" w:rsidR="00735918" w:rsidRPr="00EE7795" w:rsidRDefault="00735918" w:rsidP="00CB1D49">
            <w:pPr>
              <w:pStyle w:val="BodyText"/>
              <w:spacing w:after="80"/>
              <w:rPr>
                <w:sz w:val="18"/>
                <w:szCs w:val="18"/>
              </w:rPr>
            </w:pPr>
            <w:r w:rsidRPr="00EE7795">
              <w:rPr>
                <w:sz w:val="18"/>
                <w:szCs w:val="18"/>
              </w:rPr>
              <w:t xml:space="preserve">REGs </w:t>
            </w:r>
            <w:r w:rsidR="00CB1D49">
              <w:rPr>
                <w:sz w:val="18"/>
                <w:szCs w:val="18"/>
              </w:rPr>
              <w:t xml:space="preserve">of a CCE are adjacent </w:t>
            </w:r>
            <w:r w:rsidRPr="00EE7795">
              <w:rPr>
                <w:sz w:val="18"/>
                <w:szCs w:val="18"/>
              </w:rPr>
              <w:t>in</w:t>
            </w:r>
            <w:r w:rsidR="00CB1D49">
              <w:rPr>
                <w:sz w:val="18"/>
                <w:szCs w:val="18"/>
              </w:rPr>
              <w:t xml:space="preserve"> both </w:t>
            </w:r>
            <w:r w:rsidRPr="00EE7795">
              <w:rPr>
                <w:sz w:val="18"/>
                <w:szCs w:val="18"/>
              </w:rPr>
              <w:t>time and frequency</w:t>
            </w:r>
            <w:r w:rsidR="00CB1D49">
              <w:rPr>
                <w:sz w:val="18"/>
                <w:szCs w:val="18"/>
              </w:rPr>
              <w:t>.</w:t>
            </w:r>
            <w:r w:rsidRPr="00EE7795">
              <w:rPr>
                <w:sz w:val="18"/>
                <w:szCs w:val="18"/>
              </w:rPr>
              <w:t xml:space="preserve"> </w:t>
            </w:r>
            <w:r w:rsidR="00CB1D49">
              <w:rPr>
                <w:sz w:val="18"/>
                <w:szCs w:val="18"/>
              </w:rPr>
              <w:t xml:space="preserve">REG pairs mapping to CCE is localized in frequency </w:t>
            </w:r>
          </w:p>
        </w:tc>
        <w:tc>
          <w:tcPr>
            <w:tcW w:w="2700" w:type="dxa"/>
            <w:tcBorders>
              <w:top w:val="double" w:sz="4" w:space="0" w:color="auto"/>
            </w:tcBorders>
          </w:tcPr>
          <w:p w14:paraId="3375875C" w14:textId="7FBC6437" w:rsidR="00735918" w:rsidRPr="00EE7795" w:rsidRDefault="00735918" w:rsidP="00C91948">
            <w:pPr>
              <w:pStyle w:val="BodyText"/>
              <w:spacing w:after="80"/>
              <w:rPr>
                <w:sz w:val="18"/>
                <w:szCs w:val="18"/>
              </w:rPr>
            </w:pPr>
            <w:r w:rsidRPr="00EE7795">
              <w:rPr>
                <w:sz w:val="18"/>
                <w:szCs w:val="18"/>
              </w:rPr>
              <w:t xml:space="preserve">Adjacent CCEs in time </w:t>
            </w:r>
            <w:r w:rsidR="00C91948">
              <w:rPr>
                <w:sz w:val="18"/>
                <w:szCs w:val="18"/>
              </w:rPr>
              <w:t>belong</w:t>
            </w:r>
            <w:r w:rsidRPr="00EE7795">
              <w:rPr>
                <w:sz w:val="18"/>
                <w:szCs w:val="18"/>
              </w:rPr>
              <w:t xml:space="preserve"> to the same candidate</w:t>
            </w:r>
            <w:r w:rsidR="00C91948">
              <w:rPr>
                <w:sz w:val="18"/>
                <w:szCs w:val="18"/>
              </w:rPr>
              <w:t xml:space="preserve"> so </w:t>
            </w:r>
            <w:r w:rsidRPr="00EE7795">
              <w:rPr>
                <w:sz w:val="18"/>
                <w:szCs w:val="18"/>
              </w:rPr>
              <w:t>distributed CCE</w:t>
            </w:r>
            <w:r w:rsidR="00C91948">
              <w:rPr>
                <w:sz w:val="18"/>
                <w:szCs w:val="18"/>
              </w:rPr>
              <w:t>s</w:t>
            </w:r>
            <w:r w:rsidRPr="00EE7795">
              <w:rPr>
                <w:sz w:val="18"/>
                <w:szCs w:val="18"/>
              </w:rPr>
              <w:t xml:space="preserve"> to </w:t>
            </w:r>
            <w:r w:rsidR="00C91948">
              <w:rPr>
                <w:sz w:val="18"/>
                <w:szCs w:val="18"/>
              </w:rPr>
              <w:t>PDCCH</w:t>
            </w:r>
            <w:r w:rsidRPr="00EE7795">
              <w:rPr>
                <w:sz w:val="18"/>
                <w:szCs w:val="18"/>
              </w:rPr>
              <w:t xml:space="preserve"> mapping is </w:t>
            </w:r>
            <w:r w:rsidR="00C91948">
              <w:rPr>
                <w:sz w:val="18"/>
                <w:szCs w:val="18"/>
              </w:rPr>
              <w:t>not feasible for low aggregation levels.</w:t>
            </w:r>
          </w:p>
        </w:tc>
        <w:tc>
          <w:tcPr>
            <w:tcW w:w="1840" w:type="dxa"/>
            <w:tcBorders>
              <w:top w:val="double" w:sz="4" w:space="0" w:color="auto"/>
            </w:tcBorders>
          </w:tcPr>
          <w:p w14:paraId="3ED6B109" w14:textId="02E1DCE2" w:rsidR="00735918" w:rsidRPr="00EE7795" w:rsidRDefault="00C91948" w:rsidP="00735918">
            <w:pPr>
              <w:pStyle w:val="BodyText"/>
              <w:spacing w:after="80"/>
              <w:rPr>
                <w:sz w:val="18"/>
                <w:szCs w:val="18"/>
              </w:rPr>
            </w:pPr>
            <w:r w:rsidRPr="00EE7795">
              <w:rPr>
                <w:sz w:val="18"/>
                <w:szCs w:val="18"/>
              </w:rPr>
              <w:t>RS aggregation is not possible</w:t>
            </w:r>
            <w:r>
              <w:rPr>
                <w:sz w:val="18"/>
                <w:szCs w:val="18"/>
              </w:rPr>
              <w:t xml:space="preserve"> in time domain</w:t>
            </w:r>
            <w:r w:rsidRPr="00EE7795">
              <w:rPr>
                <w:sz w:val="18"/>
                <w:szCs w:val="18"/>
              </w:rPr>
              <w:t>. But beam switching</w:t>
            </w:r>
            <w:r>
              <w:rPr>
                <w:sz w:val="18"/>
                <w:szCs w:val="18"/>
              </w:rPr>
              <w:t xml:space="preserve"> among UEs </w:t>
            </w:r>
            <w:r w:rsidRPr="00EE7795">
              <w:rPr>
                <w:sz w:val="18"/>
                <w:szCs w:val="18"/>
              </w:rPr>
              <w:t>is possible.</w:t>
            </w:r>
          </w:p>
        </w:tc>
      </w:tr>
    </w:tbl>
    <w:p w14:paraId="227A34BF" w14:textId="77777777" w:rsidR="00022932" w:rsidRDefault="00022932" w:rsidP="00022932">
      <w:pPr>
        <w:pStyle w:val="Caption"/>
      </w:pPr>
      <w:r>
        <w:t xml:space="preserve">Table </w:t>
      </w:r>
      <w:r>
        <w:fldChar w:fldCharType="begin"/>
      </w:r>
      <w:r>
        <w:instrText xml:space="preserve"> SEQ Table \* ARABIC </w:instrText>
      </w:r>
      <w:r>
        <w:fldChar w:fldCharType="separate"/>
      </w:r>
      <w:r>
        <w:rPr>
          <w:noProof/>
        </w:rPr>
        <w:t>1</w:t>
      </w:r>
      <w:r>
        <w:fldChar w:fldCharType="end"/>
      </w:r>
      <w:r>
        <w:t>. Different options for REG-to-CCE and CCE-to-candidate mappings</w:t>
      </w:r>
    </w:p>
    <w:p w14:paraId="454637D6" w14:textId="77777777" w:rsidR="00022932" w:rsidRPr="00965B66" w:rsidRDefault="00022932" w:rsidP="00022932"/>
    <w:p w14:paraId="31D8EC47" w14:textId="2349D8B7" w:rsidR="00022932" w:rsidRDefault="00022932" w:rsidP="00022932">
      <w:pPr>
        <w:keepNext/>
        <w:suppressAutoHyphens/>
        <w:spacing w:before="240" w:after="60" w:line="360" w:lineRule="auto"/>
        <w:outlineLvl w:val="0"/>
        <w:rPr>
          <w:b/>
        </w:rPr>
      </w:pPr>
      <w:r w:rsidRPr="00E978FE">
        <w:rPr>
          <w:b/>
        </w:rPr>
        <w:t xml:space="preserve">Frequency-first REG to CCE, Frequency-first CCE to </w:t>
      </w:r>
      <w:r w:rsidR="00D25C1A">
        <w:rPr>
          <w:b/>
        </w:rPr>
        <w:t xml:space="preserve">PDCCH </w:t>
      </w:r>
      <w:r w:rsidRPr="00E978FE">
        <w:rPr>
          <w:b/>
        </w:rPr>
        <w:t>candidate mappings</w:t>
      </w:r>
    </w:p>
    <w:p w14:paraId="1BF9BA0B" w14:textId="15AEDB59" w:rsidR="0081624C" w:rsidRDefault="00022932" w:rsidP="0081624C">
      <w:pPr>
        <w:keepNext/>
        <w:suppressAutoHyphens/>
        <w:spacing w:before="240" w:after="60" w:line="360" w:lineRule="auto"/>
        <w:outlineLvl w:val="0"/>
      </w:pPr>
      <w:r>
        <w:t>In this method, REGs on the same corresponding symbol of different PRBs are mapped to one CCE, and one or more CCEs on the same corresponding symbols (</w:t>
      </w:r>
      <w:r w:rsidR="00544C8E">
        <w:t>e.g.</w:t>
      </w:r>
      <w:r>
        <w:t xml:space="preserve"> all on the first symbols of slots, or all on the second symbols of slots) are grouped to form a PDCCH candidate. In this method, </w:t>
      </w:r>
      <w:r w:rsidRPr="00F45169">
        <w:t xml:space="preserve">RS aggregation </w:t>
      </w:r>
      <w:r>
        <w:t>in time is not possible,</w:t>
      </w:r>
      <w:r w:rsidRPr="00F45169">
        <w:t xml:space="preserve"> </w:t>
      </w:r>
      <w:r>
        <w:t>b</w:t>
      </w:r>
      <w:r w:rsidRPr="00F45169">
        <w:t xml:space="preserve">ut </w:t>
      </w:r>
      <w:r>
        <w:t xml:space="preserve">on the other hand, </w:t>
      </w:r>
      <w:r w:rsidRPr="00F45169">
        <w:t>beam switching is possible.</w:t>
      </w:r>
      <w:r w:rsidR="0081624C">
        <w:t xml:space="preserve"> One example is shown in </w:t>
      </w:r>
      <w:r w:rsidR="0081624C">
        <w:fldChar w:fldCharType="begin"/>
      </w:r>
      <w:r w:rsidR="0081624C">
        <w:instrText xml:space="preserve"> REF _Ref473547828 \h </w:instrText>
      </w:r>
      <w:r w:rsidR="0081624C">
        <w:fldChar w:fldCharType="separate"/>
      </w:r>
      <w:r w:rsidR="0081624C">
        <w:t xml:space="preserve">Figure </w:t>
      </w:r>
      <w:r w:rsidR="0081624C">
        <w:rPr>
          <w:rFonts w:ascii="Times New Roman Bold" w:hAnsi="Times New Roman Bold"/>
          <w:b/>
          <w:noProof/>
        </w:rPr>
        <w:t>1</w:t>
      </w:r>
      <w:r w:rsidR="0081624C">
        <w:fldChar w:fldCharType="end"/>
      </w:r>
      <w:r w:rsidR="0081624C">
        <w:t xml:space="preserve">, where REGs of </w:t>
      </w:r>
      <w:r w:rsidR="00E43662">
        <w:t>bothe CCEs of a PDCCH are</w:t>
      </w:r>
      <w:r w:rsidR="0081624C">
        <w:t xml:space="preserve"> on the first </w:t>
      </w:r>
      <w:r w:rsidR="00544C8E">
        <w:t>OFDM</w:t>
      </w:r>
      <w:r w:rsidR="0081624C">
        <w:t xml:space="preserve"> symbol of the time slot.</w:t>
      </w:r>
    </w:p>
    <w:p w14:paraId="5662FEA7" w14:textId="1D75486D" w:rsidR="0081624C" w:rsidRDefault="00E43662" w:rsidP="004B1CED">
      <w:pPr>
        <w:keepNext/>
        <w:suppressAutoHyphens/>
        <w:spacing w:before="240" w:after="60" w:line="360" w:lineRule="auto"/>
        <w:jc w:val="center"/>
        <w:outlineLvl w:val="0"/>
      </w:pPr>
      <w:r>
        <w:rPr>
          <w:noProof/>
          <w:lang w:val="en-US" w:eastAsia="en-US"/>
        </w:rPr>
        <w:drawing>
          <wp:inline distT="0" distB="0" distL="0" distR="0" wp14:anchorId="2B07F233" wp14:editId="2C433036">
            <wp:extent cx="4260850" cy="2453051"/>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5748" cy="2467385"/>
                    </a:xfrm>
                    <a:prstGeom prst="rect">
                      <a:avLst/>
                    </a:prstGeom>
                    <a:noFill/>
                  </pic:spPr>
                </pic:pic>
              </a:graphicData>
            </a:graphic>
          </wp:inline>
        </w:drawing>
      </w:r>
    </w:p>
    <w:bookmarkStart w:id="0" w:name="_Ref473547828"/>
    <w:p w14:paraId="69ED29F8" w14:textId="742FCA62" w:rsidR="00022932" w:rsidRPr="0067560C" w:rsidRDefault="0081624C" w:rsidP="00D25C1A">
      <w:pPr>
        <w:pStyle w:val="Caption"/>
      </w:pPr>
      <w:r>
        <w:t xml:space="preserve">Figure </w:t>
      </w:r>
      <w:r>
        <w:rPr>
          <w:rFonts w:ascii="Times New Roman Bold" w:hAnsi="Times New Roman Bold"/>
          <w:b w:val="0"/>
        </w:rPr>
        <w:fldChar w:fldCharType="begin"/>
      </w:r>
      <w:r>
        <w:rPr>
          <w:rFonts w:ascii="Times New Roman Bold" w:hAnsi="Times New Roman Bold"/>
          <w:b w:val="0"/>
        </w:rPr>
        <w:instrText xml:space="preserve"> SEQ Figure \* ARABIC </w:instrText>
      </w:r>
      <w:r>
        <w:rPr>
          <w:rFonts w:ascii="Times New Roman Bold" w:hAnsi="Times New Roman Bold"/>
          <w:b w:val="0"/>
        </w:rPr>
        <w:fldChar w:fldCharType="separate"/>
      </w:r>
      <w:r>
        <w:rPr>
          <w:rFonts w:ascii="Times New Roman Bold" w:hAnsi="Times New Roman Bold"/>
          <w:b w:val="0"/>
          <w:noProof/>
        </w:rPr>
        <w:t>1</w:t>
      </w:r>
      <w:r>
        <w:rPr>
          <w:b w:val="0"/>
          <w:noProof/>
          <w:sz w:val="24"/>
          <w:szCs w:val="24"/>
        </w:rPr>
        <w:fldChar w:fldCharType="end"/>
      </w:r>
      <w:bookmarkEnd w:id="0"/>
      <w:r>
        <w:t xml:space="preserve">. Example of </w:t>
      </w:r>
      <w:r w:rsidR="00E43662">
        <w:t>a PDCCH with</w:t>
      </w:r>
      <w:r>
        <w:t xml:space="preserve"> two CCEs (</w:t>
      </w:r>
      <w:r w:rsidR="00E43662">
        <w:t>with f</w:t>
      </w:r>
      <w:r w:rsidR="00E43662" w:rsidRPr="00E43662">
        <w:t xml:space="preserve">requency-first REG to CCE, </w:t>
      </w:r>
      <w:r w:rsidR="00E43662">
        <w:t>f</w:t>
      </w:r>
      <w:r w:rsidR="00E43662" w:rsidRPr="00E43662">
        <w:t>requency-first CCE to PDCCH candidate mapping</w:t>
      </w:r>
      <w:r>
        <w:t xml:space="preserve">) </w:t>
      </w:r>
    </w:p>
    <w:p w14:paraId="4A70088D" w14:textId="20BE0DD7" w:rsidR="00022932" w:rsidRPr="00E978FE" w:rsidRDefault="00022932" w:rsidP="00022932">
      <w:pPr>
        <w:keepNext/>
        <w:suppressAutoHyphens/>
        <w:spacing w:before="240" w:after="60" w:line="360" w:lineRule="auto"/>
        <w:outlineLvl w:val="0"/>
        <w:rPr>
          <w:b/>
        </w:rPr>
      </w:pPr>
      <w:r w:rsidRPr="00E978FE">
        <w:rPr>
          <w:b/>
        </w:rPr>
        <w:lastRenderedPageBreak/>
        <w:t xml:space="preserve">Frequency-first REG to CCE, Time-first CCE to </w:t>
      </w:r>
      <w:r w:rsidR="00842973">
        <w:rPr>
          <w:b/>
        </w:rPr>
        <w:t xml:space="preserve">PDCCH </w:t>
      </w:r>
      <w:r w:rsidRPr="00E978FE">
        <w:rPr>
          <w:b/>
        </w:rPr>
        <w:t>candidate mappings</w:t>
      </w:r>
    </w:p>
    <w:p w14:paraId="4704F3EC" w14:textId="5832D8A3" w:rsidR="00022932" w:rsidRDefault="00022932" w:rsidP="00022932">
      <w:pPr>
        <w:keepNext/>
        <w:suppressAutoHyphens/>
        <w:spacing w:before="240" w:after="60" w:line="360" w:lineRule="auto"/>
        <w:outlineLvl w:val="0"/>
      </w:pPr>
      <w:r>
        <w:t>In this case</w:t>
      </w:r>
      <w:r w:rsidR="00842973">
        <w:t>,</w:t>
      </w:r>
      <w:r>
        <w:t xml:space="preserve"> REGs on the same OFDM symbol (and on different PRBs) are mapped to a CCE (see Fig</w:t>
      </w:r>
      <w:r w:rsidR="00FF25A2">
        <w:t>ure</w:t>
      </w:r>
      <w:r>
        <w:t xml:space="preserve"> </w:t>
      </w:r>
      <w:r w:rsidR="00FF25A2">
        <w:t>2</w:t>
      </w:r>
      <w:r>
        <w:t>). In this method RS aggregation (to improve the quality of channel estimation) is done together with CCE aggregation.</w:t>
      </w:r>
    </w:p>
    <w:p w14:paraId="1F1BE0CD" w14:textId="77777777" w:rsidR="0081624C" w:rsidRDefault="0081624C" w:rsidP="00022932">
      <w:pPr>
        <w:keepNext/>
        <w:suppressAutoHyphens/>
        <w:spacing w:before="240" w:after="60" w:line="360" w:lineRule="auto"/>
        <w:outlineLvl w:val="0"/>
      </w:pPr>
    </w:p>
    <w:p w14:paraId="240E7163" w14:textId="77777777" w:rsidR="00022932" w:rsidRDefault="00022932" w:rsidP="004B1CED">
      <w:pPr>
        <w:keepNext/>
        <w:suppressAutoHyphens/>
        <w:spacing w:before="240" w:after="60" w:line="360" w:lineRule="auto"/>
        <w:jc w:val="center"/>
        <w:outlineLvl w:val="0"/>
      </w:pPr>
      <w:r>
        <w:rPr>
          <w:noProof/>
          <w:lang w:val="en-US" w:eastAsia="en-US"/>
        </w:rPr>
        <w:drawing>
          <wp:inline distT="0" distB="0" distL="0" distR="0" wp14:anchorId="77CF18FF" wp14:editId="5EFEE519">
            <wp:extent cx="459944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03897" cy="2917474"/>
                    </a:xfrm>
                    <a:prstGeom prst="rect">
                      <a:avLst/>
                    </a:prstGeom>
                    <a:noFill/>
                  </pic:spPr>
                </pic:pic>
              </a:graphicData>
            </a:graphic>
          </wp:inline>
        </w:drawing>
      </w:r>
    </w:p>
    <w:p w14:paraId="5920B5D6" w14:textId="2D106E38" w:rsidR="00022932" w:rsidRDefault="00022932" w:rsidP="00022932">
      <w:pPr>
        <w:pStyle w:val="Caption"/>
      </w:pPr>
      <w:r>
        <w:t xml:space="preserve">Figure </w:t>
      </w:r>
      <w:r>
        <w:fldChar w:fldCharType="begin"/>
      </w:r>
      <w:r>
        <w:instrText xml:space="preserve"> SEQ Figure \* ARABIC </w:instrText>
      </w:r>
      <w:r>
        <w:fldChar w:fldCharType="separate"/>
      </w:r>
      <w:r w:rsidR="00FF25A2">
        <w:rPr>
          <w:noProof/>
        </w:rPr>
        <w:t>2</w:t>
      </w:r>
      <w:r>
        <w:fldChar w:fldCharType="end"/>
      </w:r>
      <w:r>
        <w:t>.</w:t>
      </w:r>
      <w:r w:rsidR="005751CE">
        <w:t xml:space="preserve"> Example of </w:t>
      </w:r>
      <w:r w:rsidR="009115F6" w:rsidRPr="009115F6">
        <w:t>Frequency-first REG to CCE, Time-first</w:t>
      </w:r>
      <w:r w:rsidR="009115F6">
        <w:t xml:space="preserve"> CCE to PDCCH candidate mapping for </w:t>
      </w:r>
      <w:r>
        <w:t>aggregation level of 4.</w:t>
      </w:r>
    </w:p>
    <w:p w14:paraId="56ECA889" w14:textId="015AE9AD" w:rsidR="00022932" w:rsidRDefault="00022932" w:rsidP="00022932">
      <w:pPr>
        <w:keepNext/>
        <w:suppressAutoHyphens/>
        <w:spacing w:before="240" w:after="60" w:line="360" w:lineRule="auto"/>
        <w:outlineLvl w:val="0"/>
        <w:rPr>
          <w:b/>
        </w:rPr>
      </w:pPr>
      <w:r w:rsidRPr="00E978FE">
        <w:rPr>
          <w:b/>
        </w:rPr>
        <w:t xml:space="preserve">Time-first REG to CCE, Frequency-first CCE to </w:t>
      </w:r>
      <w:r w:rsidR="004B1CED">
        <w:rPr>
          <w:b/>
        </w:rPr>
        <w:t xml:space="preserve">PDCCH </w:t>
      </w:r>
      <w:r w:rsidRPr="00E978FE">
        <w:rPr>
          <w:b/>
        </w:rPr>
        <w:t>candidate</w:t>
      </w:r>
      <w:r w:rsidR="004B1CED">
        <w:rPr>
          <w:b/>
        </w:rPr>
        <w:t xml:space="preserve"> mappings</w:t>
      </w:r>
    </w:p>
    <w:p w14:paraId="500A68C9" w14:textId="58306D37" w:rsidR="00022932" w:rsidRPr="00E978FE" w:rsidRDefault="00022932" w:rsidP="00022932">
      <w:pPr>
        <w:keepNext/>
        <w:suppressAutoHyphens/>
        <w:spacing w:before="240" w:after="60" w:line="360" w:lineRule="auto"/>
        <w:outlineLvl w:val="0"/>
        <w:rPr>
          <w:b/>
        </w:rPr>
      </w:pPr>
      <w:r>
        <w:t>In this case, a</w:t>
      </w:r>
      <w:r w:rsidRPr="00965B66">
        <w:t xml:space="preserve">djacent REGs in time are assigned to a CCE for both </w:t>
      </w:r>
      <w:r w:rsidR="00EE7795">
        <w:t>localized</w:t>
      </w:r>
      <w:r w:rsidRPr="00965B66">
        <w:t xml:space="preserve"> and distributed </w:t>
      </w:r>
      <w:r w:rsidR="004B1CED">
        <w:t xml:space="preserve">PDCCH </w:t>
      </w:r>
      <w:r w:rsidRPr="00965B66">
        <w:t xml:space="preserve">candidates. </w:t>
      </w:r>
      <w:r>
        <w:t xml:space="preserve">For distributed PDCCH candidates, we can have distributed mapping of CCEs to the PDCCH candidate with either localized REG-to-CCE </w:t>
      </w:r>
      <w:r w:rsidR="00544C8E">
        <w:t>mapping or</w:t>
      </w:r>
      <w:r>
        <w:t xml:space="preserve"> a hybrid REG-to-CCE mapping (localized in time and distributed in frequency).</w:t>
      </w:r>
    </w:p>
    <w:p w14:paraId="3A62B8C4" w14:textId="115F5BE6" w:rsidR="00022932" w:rsidRPr="00E978FE" w:rsidRDefault="00022932" w:rsidP="00022932">
      <w:pPr>
        <w:keepNext/>
        <w:suppressAutoHyphens/>
        <w:spacing w:before="240" w:after="60" w:line="360" w:lineRule="auto"/>
        <w:outlineLvl w:val="0"/>
        <w:rPr>
          <w:b/>
        </w:rPr>
      </w:pPr>
      <w:r w:rsidRPr="00E978FE">
        <w:rPr>
          <w:b/>
        </w:rPr>
        <w:t>REG-to-CCE mapping based on REG pairs and hybrid localized-distributed mappings</w:t>
      </w:r>
    </w:p>
    <w:p w14:paraId="029A733F" w14:textId="01364F77" w:rsidR="005D6095" w:rsidRDefault="00022932" w:rsidP="005D6095">
      <w:pPr>
        <w:keepNext/>
        <w:suppressAutoHyphens/>
        <w:spacing w:before="240" w:after="60" w:line="360" w:lineRule="auto"/>
        <w:outlineLvl w:val="0"/>
      </w:pPr>
      <w:r>
        <w:t xml:space="preserve">In this method (see </w:t>
      </w:r>
      <w:r w:rsidR="004B1CED">
        <w:t>F</w:t>
      </w:r>
      <w:r>
        <w:t xml:space="preserve">igure </w:t>
      </w:r>
      <w:r w:rsidR="00FF25A2">
        <w:t>3</w:t>
      </w:r>
      <w:r>
        <w:t>)</w:t>
      </w:r>
      <w:r w:rsidR="00B06080" w:rsidRPr="00B06080">
        <w:t xml:space="preserve"> </w:t>
      </w:r>
      <w:r w:rsidR="00B06080">
        <w:t>in order t</w:t>
      </w:r>
      <w:r w:rsidR="00B06080" w:rsidRPr="00B06080">
        <w:t>o lower the RS overhead</w:t>
      </w:r>
      <w:r>
        <w:t xml:space="preserve">, each CCE is divided to REG </w:t>
      </w:r>
      <w:r w:rsidR="00544C8E">
        <w:t>pairs</w:t>
      </w:r>
      <w:r>
        <w:t xml:space="preserve"> that are adjacent in time. </w:t>
      </w:r>
      <w:r w:rsidR="00B06080">
        <w:t>Therefore, c</w:t>
      </w:r>
      <w:r>
        <w:t xml:space="preserve">hannel estimation for each REG pair is done together to improve the quality of channel estimation. REG pairs </w:t>
      </w:r>
      <w:r w:rsidR="00B06080">
        <w:t xml:space="preserve">adjacent in time </w:t>
      </w:r>
      <w:r>
        <w:t xml:space="preserve">can be mixture of REGs with and without RS or can have different density of RS. </w:t>
      </w:r>
      <w:r w:rsidR="005D6095">
        <w:t xml:space="preserve">The position of REGs with RS (or DMRS) or without RS (or DMRS) can be implicitly determined by the UE. For example, we can have RS on the first REG of an REG pair if the PRB number is </w:t>
      </w:r>
      <w:r w:rsidR="005D6095">
        <w:lastRenderedPageBreak/>
        <w:t>odd and RS on the second REG of an REG pair if the PRB number is even. This can be applied to both localized and distributed PDCCH candidates. Figure 4 shows an example of this RS arrangement.</w:t>
      </w:r>
    </w:p>
    <w:p w14:paraId="402FB96B" w14:textId="77777777" w:rsidR="00022932" w:rsidRDefault="00022932" w:rsidP="004B1CED">
      <w:pPr>
        <w:keepNext/>
        <w:suppressAutoHyphens/>
        <w:spacing w:before="240" w:after="60" w:line="360" w:lineRule="auto"/>
        <w:jc w:val="center"/>
        <w:outlineLvl w:val="0"/>
      </w:pPr>
      <w:r>
        <w:rPr>
          <w:noProof/>
          <w:lang w:val="en-US" w:eastAsia="en-US"/>
        </w:rPr>
        <w:drawing>
          <wp:inline distT="0" distB="0" distL="0" distR="0" wp14:anchorId="73A7D0A9" wp14:editId="07FCE8C5">
            <wp:extent cx="6076950" cy="29670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8513" cy="2977556"/>
                    </a:xfrm>
                    <a:prstGeom prst="rect">
                      <a:avLst/>
                    </a:prstGeom>
                    <a:noFill/>
                  </pic:spPr>
                </pic:pic>
              </a:graphicData>
            </a:graphic>
          </wp:inline>
        </w:drawing>
      </w:r>
    </w:p>
    <w:p w14:paraId="01E90A14" w14:textId="7A3AFC59" w:rsidR="00022932" w:rsidRDefault="00022932" w:rsidP="00022932">
      <w:pPr>
        <w:pStyle w:val="Caption"/>
      </w:pPr>
      <w:r>
        <w:t xml:space="preserve">Figure </w:t>
      </w:r>
      <w:r>
        <w:fldChar w:fldCharType="begin"/>
      </w:r>
      <w:r>
        <w:instrText xml:space="preserve"> SEQ Figure \* ARABIC </w:instrText>
      </w:r>
      <w:r>
        <w:fldChar w:fldCharType="separate"/>
      </w:r>
      <w:r w:rsidR="00FF25A2">
        <w:rPr>
          <w:noProof/>
        </w:rPr>
        <w:t>3</w:t>
      </w:r>
      <w:r>
        <w:fldChar w:fldCharType="end"/>
      </w:r>
      <w:r>
        <w:t xml:space="preserve">. An example of </w:t>
      </w:r>
      <w:r w:rsidRPr="000302A5">
        <w:t>Time-first REG to CCE</w:t>
      </w:r>
      <w:r>
        <w:t xml:space="preserve"> mapping for the two cases of localized and hybrid CCEs. In this example, each CCE consists of two REG pairs </w:t>
      </w:r>
      <w:r w:rsidR="00544C8E">
        <w:t>where</w:t>
      </w:r>
      <w:r w:rsidR="004B1CED">
        <w:t xml:space="preserve"> each REG pair is</w:t>
      </w:r>
      <w:r>
        <w:t xml:space="preserve"> adjacent in time. </w:t>
      </w:r>
    </w:p>
    <w:p w14:paraId="71F4096F" w14:textId="7E6ADECD" w:rsidR="00022932" w:rsidRDefault="00022932" w:rsidP="00022932">
      <w:pPr>
        <w:spacing w:after="0"/>
      </w:pPr>
      <w:bookmarkStart w:id="1" w:name="_GoBack"/>
      <w:bookmarkEnd w:id="1"/>
    </w:p>
    <w:p w14:paraId="3A1ADEC3" w14:textId="77777777" w:rsidR="00022932" w:rsidRDefault="00022932" w:rsidP="00022932">
      <w:pPr>
        <w:spacing w:after="0"/>
      </w:pPr>
    </w:p>
    <w:p w14:paraId="33E0A6FF" w14:textId="77777777" w:rsidR="00022932" w:rsidRDefault="00022932" w:rsidP="00022932">
      <w:pPr>
        <w:spacing w:after="0"/>
      </w:pPr>
    </w:p>
    <w:p w14:paraId="4C735B67" w14:textId="77777777" w:rsidR="00022932" w:rsidRDefault="00022932" w:rsidP="00022932">
      <w:pPr>
        <w:spacing w:after="0"/>
      </w:pPr>
    </w:p>
    <w:p w14:paraId="0086654C" w14:textId="77777777" w:rsidR="00022932" w:rsidRDefault="00022932" w:rsidP="00022932">
      <w:pPr>
        <w:spacing w:after="0"/>
      </w:pPr>
    </w:p>
    <w:p w14:paraId="3EE8D725" w14:textId="77777777" w:rsidR="00022932" w:rsidRDefault="00022932" w:rsidP="006003CA">
      <w:pPr>
        <w:spacing w:after="0"/>
        <w:jc w:val="center"/>
      </w:pPr>
      <w:r>
        <w:rPr>
          <w:noProof/>
          <w:lang w:val="en-US" w:eastAsia="en-US"/>
        </w:rPr>
        <w:drawing>
          <wp:inline distT="0" distB="0" distL="0" distR="0" wp14:anchorId="0C7A8D55" wp14:editId="548CBF75">
            <wp:extent cx="5946869" cy="322387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62018" cy="3232092"/>
                    </a:xfrm>
                    <a:prstGeom prst="rect">
                      <a:avLst/>
                    </a:prstGeom>
                    <a:noFill/>
                  </pic:spPr>
                </pic:pic>
              </a:graphicData>
            </a:graphic>
          </wp:inline>
        </w:drawing>
      </w:r>
    </w:p>
    <w:p w14:paraId="05928BAD" w14:textId="0AFA6F61" w:rsidR="00022932" w:rsidRDefault="00022932" w:rsidP="00022932">
      <w:pPr>
        <w:pStyle w:val="Caption"/>
      </w:pPr>
      <w:r>
        <w:t xml:space="preserve">Figure </w:t>
      </w:r>
      <w:r>
        <w:fldChar w:fldCharType="begin"/>
      </w:r>
      <w:r>
        <w:instrText xml:space="preserve"> SEQ Figure \* ARABIC </w:instrText>
      </w:r>
      <w:r>
        <w:fldChar w:fldCharType="separate"/>
      </w:r>
      <w:r w:rsidR="00FF25A2">
        <w:rPr>
          <w:noProof/>
        </w:rPr>
        <w:t>4</w:t>
      </w:r>
      <w:r>
        <w:fldChar w:fldCharType="end"/>
      </w:r>
      <w:r>
        <w:t>. An example RS arrangement that can be dependent on PRB number.</w:t>
      </w:r>
    </w:p>
    <w:p w14:paraId="6826E689" w14:textId="03C70C27" w:rsidR="006C5B55" w:rsidRPr="00FF142F" w:rsidRDefault="00FF142F" w:rsidP="006C5B55">
      <w:pPr>
        <w:keepNext/>
        <w:overflowPunct/>
        <w:autoSpaceDE/>
        <w:autoSpaceDN/>
        <w:adjustRightInd/>
        <w:spacing w:after="160" w:line="259" w:lineRule="auto"/>
        <w:textAlignment w:val="auto"/>
        <w:rPr>
          <w:rFonts w:eastAsiaTheme="minorHAnsi"/>
          <w:szCs w:val="22"/>
          <w:lang w:val="en-US" w:eastAsia="sv-SE"/>
        </w:rPr>
      </w:pPr>
      <w:r>
        <w:rPr>
          <w:rFonts w:eastAsiaTheme="minorHAnsi"/>
          <w:szCs w:val="22"/>
          <w:lang w:val="en-US" w:eastAsia="sv-SE"/>
        </w:rPr>
        <w:lastRenderedPageBreak/>
        <w:t>In conclusion, we believe in order t</w:t>
      </w:r>
      <w:r w:rsidRPr="00FF142F">
        <w:rPr>
          <w:rFonts w:eastAsiaTheme="minorHAnsi"/>
          <w:szCs w:val="22"/>
          <w:lang w:val="en-US" w:eastAsia="sv-SE"/>
        </w:rPr>
        <w:t xml:space="preserve">o </w:t>
      </w:r>
      <w:r>
        <w:rPr>
          <w:rFonts w:eastAsiaTheme="minorHAnsi"/>
          <w:szCs w:val="22"/>
          <w:lang w:val="en-US" w:eastAsia="sv-SE"/>
        </w:rPr>
        <w:t xml:space="preserve">strike a balance between RS overhead and </w:t>
      </w:r>
      <w:r w:rsidRPr="00FF142F">
        <w:rPr>
          <w:rFonts w:eastAsiaTheme="minorHAnsi"/>
          <w:szCs w:val="22"/>
          <w:lang w:val="en-US" w:eastAsia="sv-SE"/>
        </w:rPr>
        <w:t>channel estimation</w:t>
      </w:r>
      <w:r>
        <w:rPr>
          <w:rFonts w:eastAsiaTheme="minorHAnsi"/>
          <w:szCs w:val="22"/>
          <w:lang w:val="en-US" w:eastAsia="sv-SE"/>
        </w:rPr>
        <w:t xml:space="preserve"> quality</w:t>
      </w:r>
      <w:r w:rsidRPr="00FF142F">
        <w:rPr>
          <w:rFonts w:eastAsiaTheme="minorHAnsi"/>
          <w:szCs w:val="22"/>
          <w:lang w:val="en-US" w:eastAsia="sv-SE"/>
        </w:rPr>
        <w:t>, REG pairs that are adjacent in time should be considered for both localized and distributed PDCCH.</w:t>
      </w:r>
    </w:p>
    <w:p w14:paraId="620513A2" w14:textId="1AE9EF76" w:rsidR="00022932" w:rsidRPr="00FF142F" w:rsidRDefault="006C5B55" w:rsidP="006C5B55">
      <w:pPr>
        <w:keepNext/>
        <w:overflowPunct/>
        <w:autoSpaceDE/>
        <w:autoSpaceDN/>
        <w:adjustRightInd/>
        <w:spacing w:after="160" w:line="259" w:lineRule="auto"/>
        <w:textAlignment w:val="auto"/>
        <w:rPr>
          <w:rFonts w:eastAsiaTheme="minorHAnsi"/>
          <w:i/>
          <w:szCs w:val="22"/>
          <w:lang w:val="en-US" w:eastAsia="en-US"/>
        </w:rPr>
      </w:pPr>
      <w:r w:rsidRPr="00FF142F">
        <w:rPr>
          <w:rFonts w:eastAsiaTheme="minorHAnsi"/>
          <w:b/>
          <w:i/>
          <w:szCs w:val="22"/>
          <w:u w:val="single"/>
          <w:lang w:val="en-US" w:eastAsia="sv-SE"/>
        </w:rPr>
        <w:t>Proposal 1:</w:t>
      </w:r>
      <w:r w:rsidR="00FF142F" w:rsidRPr="00FF142F">
        <w:rPr>
          <w:rFonts w:eastAsiaTheme="minorHAnsi"/>
          <w:b/>
          <w:i/>
          <w:szCs w:val="22"/>
          <w:lang w:val="en-US" w:eastAsia="sv-SE"/>
        </w:rPr>
        <w:t xml:space="preserve"> NR should consider time first mapping of REGs to CCEs</w:t>
      </w:r>
    </w:p>
    <w:p w14:paraId="55845B46" w14:textId="15D81043" w:rsidR="00FF142F" w:rsidRPr="00FF142F" w:rsidRDefault="00FF142F" w:rsidP="00FF142F">
      <w:pPr>
        <w:keepNext/>
        <w:overflowPunct/>
        <w:autoSpaceDE/>
        <w:autoSpaceDN/>
        <w:adjustRightInd/>
        <w:spacing w:after="160" w:line="259" w:lineRule="auto"/>
        <w:textAlignment w:val="auto"/>
        <w:rPr>
          <w:rFonts w:eastAsiaTheme="minorHAnsi"/>
          <w:i/>
          <w:szCs w:val="22"/>
          <w:lang w:val="en-US" w:eastAsia="en-US"/>
        </w:rPr>
      </w:pPr>
      <w:r>
        <w:rPr>
          <w:rFonts w:eastAsiaTheme="minorHAnsi"/>
          <w:b/>
          <w:i/>
          <w:szCs w:val="22"/>
          <w:u w:val="single"/>
          <w:lang w:val="en-US" w:eastAsia="sv-SE"/>
        </w:rPr>
        <w:t>Proposal 2</w:t>
      </w:r>
      <w:r w:rsidRPr="00FF142F">
        <w:rPr>
          <w:rFonts w:eastAsiaTheme="minorHAnsi"/>
          <w:b/>
          <w:i/>
          <w:szCs w:val="22"/>
          <w:u w:val="single"/>
          <w:lang w:val="en-US" w:eastAsia="sv-SE"/>
        </w:rPr>
        <w:t>:</w:t>
      </w:r>
      <w:r w:rsidRPr="00FF142F">
        <w:rPr>
          <w:rFonts w:eastAsiaTheme="minorHAnsi"/>
          <w:b/>
          <w:i/>
          <w:szCs w:val="22"/>
          <w:lang w:val="en-US" w:eastAsia="sv-SE"/>
        </w:rPr>
        <w:t xml:space="preserve"> NR should consider </w:t>
      </w:r>
      <w:r>
        <w:rPr>
          <w:rFonts w:eastAsiaTheme="minorHAnsi"/>
          <w:b/>
          <w:i/>
          <w:szCs w:val="22"/>
          <w:lang w:val="en-US" w:eastAsia="sv-SE"/>
        </w:rPr>
        <w:t xml:space="preserve">both localized and distributed </w:t>
      </w:r>
      <w:r w:rsidR="001F7DD7">
        <w:rPr>
          <w:rFonts w:eastAsiaTheme="minorHAnsi"/>
          <w:b/>
          <w:i/>
          <w:szCs w:val="22"/>
          <w:lang w:val="en-US" w:eastAsia="sv-SE"/>
        </w:rPr>
        <w:t xml:space="preserve">mapping of time-adjacent REG pairs to CCEs </w:t>
      </w:r>
      <w:r>
        <w:rPr>
          <w:rFonts w:eastAsiaTheme="minorHAnsi"/>
          <w:b/>
          <w:i/>
          <w:szCs w:val="22"/>
          <w:lang w:val="en-US" w:eastAsia="sv-SE"/>
        </w:rPr>
        <w:t xml:space="preserve"> </w:t>
      </w:r>
      <w:r w:rsidRPr="00FF142F">
        <w:rPr>
          <w:rFonts w:eastAsiaTheme="minorHAnsi"/>
          <w:b/>
          <w:i/>
          <w:szCs w:val="22"/>
          <w:lang w:val="en-US" w:eastAsia="sv-SE"/>
        </w:rPr>
        <w:t xml:space="preserve"> </w:t>
      </w:r>
      <w:r>
        <w:rPr>
          <w:rFonts w:eastAsiaTheme="minorHAnsi"/>
          <w:b/>
          <w:i/>
          <w:szCs w:val="22"/>
          <w:lang w:val="en-US" w:eastAsia="sv-SE"/>
        </w:rPr>
        <w:t xml:space="preserve"> </w:t>
      </w:r>
    </w:p>
    <w:p w14:paraId="6F88EF93" w14:textId="7FB3DACB" w:rsidR="00721E95" w:rsidRPr="00B43818" w:rsidRDefault="00721E95" w:rsidP="00215991"/>
    <w:p w14:paraId="596E93DF" w14:textId="4893F5BD" w:rsidR="00821C42" w:rsidRPr="00B43818" w:rsidRDefault="00BF17FD" w:rsidP="00821C42">
      <w:pPr>
        <w:pStyle w:val="Heading1"/>
        <w:pBdr>
          <w:top w:val="single" w:sz="12" w:space="5" w:color="auto"/>
        </w:pBdr>
        <w:spacing w:after="120"/>
        <w:rPr>
          <w:rFonts w:ascii="Times New Roman" w:hAnsi="Times New Roman"/>
          <w:b/>
          <w:sz w:val="32"/>
          <w:lang w:val="en-US"/>
        </w:rPr>
      </w:pPr>
      <w:r w:rsidRPr="00B43818">
        <w:rPr>
          <w:rFonts w:ascii="Times New Roman" w:hAnsi="Times New Roman"/>
          <w:b/>
          <w:sz w:val="32"/>
          <w:lang w:val="en-US"/>
        </w:rPr>
        <w:t>Summary</w:t>
      </w:r>
    </w:p>
    <w:p w14:paraId="695697E4" w14:textId="21A1D153" w:rsidR="009F4088" w:rsidRPr="00B43818" w:rsidRDefault="003242DD" w:rsidP="009F4088">
      <w:pPr>
        <w:rPr>
          <w:szCs w:val="22"/>
        </w:rPr>
      </w:pPr>
      <w:r w:rsidRPr="00B43818">
        <w:rPr>
          <w:szCs w:val="22"/>
        </w:rPr>
        <w:t>This contribution discussed</w:t>
      </w:r>
      <w:r w:rsidR="00220819" w:rsidRPr="00B43818">
        <w:rPr>
          <w:szCs w:val="22"/>
        </w:rPr>
        <w:t xml:space="preserve"> </w:t>
      </w:r>
      <w:r w:rsidR="00D267AA" w:rsidRPr="00B43818">
        <w:rPr>
          <w:szCs w:val="22"/>
        </w:rPr>
        <w:t xml:space="preserve">the </w:t>
      </w:r>
      <w:r w:rsidR="005C03C0">
        <w:rPr>
          <w:szCs w:val="22"/>
        </w:rPr>
        <w:t>design of</w:t>
      </w:r>
      <w:r w:rsidR="009F4088" w:rsidRPr="00B43818">
        <w:rPr>
          <w:szCs w:val="22"/>
        </w:rPr>
        <w:t xml:space="preserve"> </w:t>
      </w:r>
      <w:r w:rsidR="00402329">
        <w:rPr>
          <w:szCs w:val="22"/>
        </w:rPr>
        <w:t xml:space="preserve">localized and distributed </w:t>
      </w:r>
      <w:r w:rsidR="005C03C0">
        <w:rPr>
          <w:szCs w:val="22"/>
        </w:rPr>
        <w:t xml:space="preserve">NR-PDCCH </w:t>
      </w:r>
      <w:r w:rsidR="009F4088" w:rsidRPr="00B43818">
        <w:rPr>
          <w:szCs w:val="22"/>
        </w:rPr>
        <w:t>candidates.</w:t>
      </w:r>
      <w:r w:rsidR="00FF142F">
        <w:rPr>
          <w:szCs w:val="22"/>
        </w:rPr>
        <w:t xml:space="preserve"> We made the following proposals:</w:t>
      </w:r>
    </w:p>
    <w:p w14:paraId="76186E1D" w14:textId="77777777" w:rsidR="00FF142F" w:rsidRPr="00FF142F" w:rsidRDefault="00FF142F" w:rsidP="00FF142F">
      <w:pPr>
        <w:keepNext/>
        <w:overflowPunct/>
        <w:autoSpaceDE/>
        <w:autoSpaceDN/>
        <w:adjustRightInd/>
        <w:spacing w:after="160" w:line="259" w:lineRule="auto"/>
        <w:textAlignment w:val="auto"/>
        <w:rPr>
          <w:rFonts w:eastAsiaTheme="minorHAnsi"/>
          <w:i/>
          <w:szCs w:val="22"/>
          <w:lang w:val="en-US" w:eastAsia="en-US"/>
        </w:rPr>
      </w:pPr>
      <w:r w:rsidRPr="00FF142F">
        <w:rPr>
          <w:rFonts w:eastAsiaTheme="minorHAnsi"/>
          <w:b/>
          <w:i/>
          <w:szCs w:val="22"/>
          <w:u w:val="single"/>
          <w:lang w:val="en-US" w:eastAsia="sv-SE"/>
        </w:rPr>
        <w:t>Proposal 1:</w:t>
      </w:r>
      <w:r w:rsidRPr="00FF142F">
        <w:rPr>
          <w:rFonts w:eastAsiaTheme="minorHAnsi"/>
          <w:b/>
          <w:i/>
          <w:szCs w:val="22"/>
          <w:lang w:val="en-US" w:eastAsia="sv-SE"/>
        </w:rPr>
        <w:t xml:space="preserve"> NR should consider time first mapping of REGs to CCEs</w:t>
      </w:r>
    </w:p>
    <w:p w14:paraId="713DA1C4" w14:textId="77777777" w:rsidR="001F7DD7" w:rsidRPr="00FF142F" w:rsidRDefault="001F7DD7" w:rsidP="001F7DD7">
      <w:pPr>
        <w:keepNext/>
        <w:overflowPunct/>
        <w:autoSpaceDE/>
        <w:autoSpaceDN/>
        <w:adjustRightInd/>
        <w:spacing w:after="160" w:line="259" w:lineRule="auto"/>
        <w:textAlignment w:val="auto"/>
        <w:rPr>
          <w:rFonts w:eastAsiaTheme="minorHAnsi"/>
          <w:i/>
          <w:szCs w:val="22"/>
          <w:lang w:val="en-US" w:eastAsia="en-US"/>
        </w:rPr>
      </w:pPr>
      <w:r>
        <w:rPr>
          <w:rFonts w:eastAsiaTheme="minorHAnsi"/>
          <w:b/>
          <w:i/>
          <w:szCs w:val="22"/>
          <w:u w:val="single"/>
          <w:lang w:val="en-US" w:eastAsia="sv-SE"/>
        </w:rPr>
        <w:t>Proposal 2</w:t>
      </w:r>
      <w:r w:rsidRPr="00FF142F">
        <w:rPr>
          <w:rFonts w:eastAsiaTheme="minorHAnsi"/>
          <w:b/>
          <w:i/>
          <w:szCs w:val="22"/>
          <w:u w:val="single"/>
          <w:lang w:val="en-US" w:eastAsia="sv-SE"/>
        </w:rPr>
        <w:t>:</w:t>
      </w:r>
      <w:r w:rsidRPr="00FF142F">
        <w:rPr>
          <w:rFonts w:eastAsiaTheme="minorHAnsi"/>
          <w:b/>
          <w:i/>
          <w:szCs w:val="22"/>
          <w:lang w:val="en-US" w:eastAsia="sv-SE"/>
        </w:rPr>
        <w:t xml:space="preserve"> NR should consider </w:t>
      </w:r>
      <w:r>
        <w:rPr>
          <w:rFonts w:eastAsiaTheme="minorHAnsi"/>
          <w:b/>
          <w:i/>
          <w:szCs w:val="22"/>
          <w:lang w:val="en-US" w:eastAsia="sv-SE"/>
        </w:rPr>
        <w:t xml:space="preserve">both localized and distributed mapping of time-adjacent REG pairs to CCEs  </w:t>
      </w:r>
      <w:r w:rsidRPr="00FF142F">
        <w:rPr>
          <w:rFonts w:eastAsiaTheme="minorHAnsi"/>
          <w:b/>
          <w:i/>
          <w:szCs w:val="22"/>
          <w:lang w:val="en-US" w:eastAsia="sv-SE"/>
        </w:rPr>
        <w:t xml:space="preserve"> </w:t>
      </w:r>
      <w:r>
        <w:rPr>
          <w:rFonts w:eastAsiaTheme="minorHAnsi"/>
          <w:b/>
          <w:i/>
          <w:szCs w:val="22"/>
          <w:lang w:val="en-US" w:eastAsia="sv-SE"/>
        </w:rPr>
        <w:t xml:space="preserve"> </w:t>
      </w:r>
    </w:p>
    <w:p w14:paraId="7A7E4D34" w14:textId="31CFB118" w:rsidR="00746CE2" w:rsidRPr="00B43818" w:rsidRDefault="00746CE2" w:rsidP="003242DD">
      <w:pPr>
        <w:rPr>
          <w:sz w:val="20"/>
        </w:rPr>
      </w:pPr>
    </w:p>
    <w:p w14:paraId="0EF7466D" w14:textId="77777777" w:rsidR="00251B4A" w:rsidRPr="00B43818" w:rsidRDefault="00251B4A" w:rsidP="00251B4A">
      <w:pPr>
        <w:pStyle w:val="Heading1"/>
        <w:rPr>
          <w:rFonts w:ascii="Times New Roman" w:hAnsi="Times New Roman"/>
          <w:b/>
          <w:sz w:val="32"/>
          <w:lang w:val="en-US"/>
        </w:rPr>
      </w:pPr>
      <w:r w:rsidRPr="00B43818">
        <w:rPr>
          <w:rFonts w:ascii="Times New Roman" w:hAnsi="Times New Roman"/>
          <w:b/>
          <w:sz w:val="32"/>
          <w:lang w:val="en-US"/>
        </w:rPr>
        <w:t>References</w:t>
      </w:r>
    </w:p>
    <w:p w14:paraId="1CA3A936" w14:textId="700BF0FB" w:rsidR="00E246F8" w:rsidRPr="00B43818" w:rsidRDefault="008E6321" w:rsidP="005266DD">
      <w:pPr>
        <w:pStyle w:val="Reference"/>
        <w:rPr>
          <w:szCs w:val="22"/>
        </w:rPr>
      </w:pPr>
      <w:bookmarkStart w:id="2" w:name="_Ref455734493"/>
      <w:bookmarkStart w:id="3" w:name="_Ref434502751"/>
      <w:bookmarkStart w:id="4" w:name="_Ref419296613"/>
      <w:bookmarkStart w:id="5" w:name="_Ref434227915"/>
      <w:bookmarkStart w:id="6" w:name="_Ref434501473"/>
      <w:r w:rsidRPr="00B43818">
        <w:rPr>
          <w:szCs w:val="22"/>
        </w:rPr>
        <w:t>RAN1</w:t>
      </w:r>
      <w:r w:rsidR="00087145">
        <w:rPr>
          <w:szCs w:val="22"/>
        </w:rPr>
        <w:t xml:space="preserve"> </w:t>
      </w:r>
      <w:r w:rsidR="0092398B">
        <w:rPr>
          <w:szCs w:val="22"/>
        </w:rPr>
        <w:t>meeting</w:t>
      </w:r>
      <w:r w:rsidR="005266DD" w:rsidRPr="00B43818">
        <w:rPr>
          <w:szCs w:val="22"/>
        </w:rPr>
        <w:t xml:space="preserve"> </w:t>
      </w:r>
      <w:r w:rsidR="00022932">
        <w:rPr>
          <w:szCs w:val="22"/>
        </w:rPr>
        <w:t xml:space="preserve">#88 </w:t>
      </w:r>
      <w:r w:rsidR="005266DD" w:rsidRPr="00B43818">
        <w:rPr>
          <w:szCs w:val="22"/>
        </w:rPr>
        <w:t>Chairman’s Note</w:t>
      </w:r>
      <w:bookmarkEnd w:id="2"/>
      <w:r w:rsidR="005266DD" w:rsidRPr="00B43818">
        <w:rPr>
          <w:szCs w:val="22"/>
        </w:rPr>
        <w:t>s</w:t>
      </w:r>
      <w:bookmarkEnd w:id="3"/>
      <w:bookmarkEnd w:id="4"/>
      <w:bookmarkEnd w:id="5"/>
      <w:bookmarkEnd w:id="6"/>
    </w:p>
    <w:p w14:paraId="4CF95F94" w14:textId="77777777" w:rsidR="002D0F2A" w:rsidRPr="00B43818" w:rsidRDefault="002D0F2A" w:rsidP="002D0F2A">
      <w:pPr>
        <w:pStyle w:val="Reference"/>
        <w:numPr>
          <w:ilvl w:val="0"/>
          <w:numId w:val="0"/>
        </w:numPr>
        <w:ind w:left="567"/>
        <w:rPr>
          <w:szCs w:val="22"/>
        </w:rPr>
      </w:pPr>
    </w:p>
    <w:p w14:paraId="03409F5F" w14:textId="5C8AA68D" w:rsidR="00C66A49" w:rsidRPr="00B43818" w:rsidRDefault="00C66A49" w:rsidP="00A0293F">
      <w:pPr>
        <w:pStyle w:val="Reference"/>
        <w:numPr>
          <w:ilvl w:val="0"/>
          <w:numId w:val="0"/>
        </w:numPr>
        <w:ind w:left="567"/>
        <w:rPr>
          <w:szCs w:val="22"/>
        </w:rPr>
      </w:pPr>
    </w:p>
    <w:sectPr w:rsidR="00C66A49" w:rsidRPr="00B43818" w:rsidSect="00D55085">
      <w:headerReference w:type="even" r:id="rId16"/>
      <w:footerReference w:type="defaul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A2FFB" w14:textId="77777777" w:rsidR="006F5CCC" w:rsidRDefault="006F5CCC">
      <w:r>
        <w:separator/>
      </w:r>
    </w:p>
  </w:endnote>
  <w:endnote w:type="continuationSeparator" w:id="0">
    <w:p w14:paraId="3D0B2695" w14:textId="77777777" w:rsidR="006F5CCC" w:rsidRDefault="006F5CCC">
      <w:r>
        <w:continuationSeparator/>
      </w:r>
    </w:p>
  </w:endnote>
  <w:endnote w:type="continuationNotice" w:id="1">
    <w:p w14:paraId="325C4BEE" w14:textId="77777777" w:rsidR="006F5CCC" w:rsidRDefault="006F5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48ED0510"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5683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683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D6156" w14:textId="77777777" w:rsidR="006F5CCC" w:rsidRDefault="006F5CCC">
      <w:r>
        <w:separator/>
      </w:r>
    </w:p>
  </w:footnote>
  <w:footnote w:type="continuationSeparator" w:id="0">
    <w:p w14:paraId="0E3910C0" w14:textId="77777777" w:rsidR="006F5CCC" w:rsidRDefault="006F5CCC">
      <w:r>
        <w:continuationSeparator/>
      </w:r>
    </w:p>
  </w:footnote>
  <w:footnote w:type="continuationNotice" w:id="1">
    <w:p w14:paraId="5B4CF82A" w14:textId="77777777" w:rsidR="006F5CCC" w:rsidRDefault="006F5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tentative="1">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0"/>
  </w:num>
  <w:num w:numId="2">
    <w:abstractNumId w:val="16"/>
  </w:num>
  <w:num w:numId="3">
    <w:abstractNumId w:val="11"/>
  </w:num>
  <w:num w:numId="4">
    <w:abstractNumId w:val="12"/>
  </w:num>
  <w:num w:numId="5">
    <w:abstractNumId w:val="8"/>
  </w:num>
  <w:num w:numId="6">
    <w:abstractNumId w:val="14"/>
  </w:num>
  <w:num w:numId="7">
    <w:abstractNumId w:val="18"/>
  </w:num>
  <w:num w:numId="8">
    <w:abstractNumId w:val="9"/>
  </w:num>
  <w:num w:numId="9">
    <w:abstractNumId w:val="21"/>
  </w:num>
  <w:num w:numId="10">
    <w:abstractNumId w:val="4"/>
  </w:num>
  <w:num w:numId="11">
    <w:abstractNumId w:val="1"/>
  </w:num>
  <w:num w:numId="12">
    <w:abstractNumId w:val="15"/>
  </w:num>
  <w:num w:numId="13">
    <w:abstractNumId w:val="20"/>
  </w:num>
  <w:num w:numId="14">
    <w:abstractNumId w:val="3"/>
  </w:num>
  <w:num w:numId="15">
    <w:abstractNumId w:val="0"/>
  </w:num>
  <w:num w:numId="16">
    <w:abstractNumId w:val="5"/>
  </w:num>
  <w:num w:numId="17">
    <w:abstractNumId w:val="19"/>
  </w:num>
  <w:num w:numId="18">
    <w:abstractNumId w:val="7"/>
  </w:num>
  <w:num w:numId="19">
    <w:abstractNumId w:val="22"/>
  </w:num>
  <w:num w:numId="20">
    <w:abstractNumId w:val="6"/>
  </w:num>
  <w:num w:numId="21">
    <w:abstractNumId w:val="2"/>
  </w:num>
  <w:num w:numId="22">
    <w:abstractNumId w:val="10"/>
  </w:num>
  <w:num w:numId="23">
    <w:abstractNumId w:val="17"/>
  </w:num>
  <w:num w:numId="24">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1F4"/>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93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39"/>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87145"/>
    <w:rsid w:val="0009009F"/>
    <w:rsid w:val="00090AF4"/>
    <w:rsid w:val="00090D19"/>
    <w:rsid w:val="00091557"/>
    <w:rsid w:val="00092083"/>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6E32"/>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03F"/>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0FF"/>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89C"/>
    <w:rsid w:val="00123CA8"/>
    <w:rsid w:val="00123D2C"/>
    <w:rsid w:val="001248FC"/>
    <w:rsid w:val="00125448"/>
    <w:rsid w:val="00125B92"/>
    <w:rsid w:val="00125D8C"/>
    <w:rsid w:val="00125FDB"/>
    <w:rsid w:val="00126305"/>
    <w:rsid w:val="00126B4A"/>
    <w:rsid w:val="00126C37"/>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47FB"/>
    <w:rsid w:val="00145B01"/>
    <w:rsid w:val="00146904"/>
    <w:rsid w:val="00146964"/>
    <w:rsid w:val="00146989"/>
    <w:rsid w:val="00147BDE"/>
    <w:rsid w:val="001506B3"/>
    <w:rsid w:val="00150C1E"/>
    <w:rsid w:val="001510DF"/>
    <w:rsid w:val="001517A7"/>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27E"/>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1F7DD7"/>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BDA"/>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5B8"/>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0F2A"/>
    <w:rsid w:val="002D102E"/>
    <w:rsid w:val="002D2E85"/>
    <w:rsid w:val="002D34B2"/>
    <w:rsid w:val="002D4147"/>
    <w:rsid w:val="002D4863"/>
    <w:rsid w:val="002D4ABC"/>
    <w:rsid w:val="002D5255"/>
    <w:rsid w:val="002D5933"/>
    <w:rsid w:val="002D5BFA"/>
    <w:rsid w:val="002D6218"/>
    <w:rsid w:val="002D652A"/>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E11"/>
    <w:rsid w:val="002F2F73"/>
    <w:rsid w:val="002F37A9"/>
    <w:rsid w:val="002F4AE1"/>
    <w:rsid w:val="002F5609"/>
    <w:rsid w:val="002F585B"/>
    <w:rsid w:val="002F5A1A"/>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349"/>
    <w:rsid w:val="00320177"/>
    <w:rsid w:val="003203ED"/>
    <w:rsid w:val="0032130F"/>
    <w:rsid w:val="00322820"/>
    <w:rsid w:val="00322C9F"/>
    <w:rsid w:val="003233E6"/>
    <w:rsid w:val="00324135"/>
    <w:rsid w:val="003242DD"/>
    <w:rsid w:val="00324AA1"/>
    <w:rsid w:val="00324D23"/>
    <w:rsid w:val="00325768"/>
    <w:rsid w:val="00325884"/>
    <w:rsid w:val="00325F35"/>
    <w:rsid w:val="00326059"/>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0DF3"/>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3B9C"/>
    <w:rsid w:val="003C4FFF"/>
    <w:rsid w:val="003C62E9"/>
    <w:rsid w:val="003C62ED"/>
    <w:rsid w:val="003C668F"/>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6E8"/>
    <w:rsid w:val="003E3A77"/>
    <w:rsid w:val="003E3DD1"/>
    <w:rsid w:val="003E42D2"/>
    <w:rsid w:val="003E4493"/>
    <w:rsid w:val="003E46C7"/>
    <w:rsid w:val="003E4789"/>
    <w:rsid w:val="003E517D"/>
    <w:rsid w:val="003E55E4"/>
    <w:rsid w:val="003E5B3A"/>
    <w:rsid w:val="003E64AD"/>
    <w:rsid w:val="003E7090"/>
    <w:rsid w:val="003E7464"/>
    <w:rsid w:val="003E74E3"/>
    <w:rsid w:val="003E7676"/>
    <w:rsid w:val="003F05C7"/>
    <w:rsid w:val="003F1D3F"/>
    <w:rsid w:val="003F2185"/>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29"/>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32B"/>
    <w:rsid w:val="00425A2C"/>
    <w:rsid w:val="00425A2E"/>
    <w:rsid w:val="00425B68"/>
    <w:rsid w:val="0042614B"/>
    <w:rsid w:val="00426910"/>
    <w:rsid w:val="00426A23"/>
    <w:rsid w:val="00426ADD"/>
    <w:rsid w:val="00427248"/>
    <w:rsid w:val="00427772"/>
    <w:rsid w:val="004304BB"/>
    <w:rsid w:val="004319AA"/>
    <w:rsid w:val="00431A9F"/>
    <w:rsid w:val="004328D6"/>
    <w:rsid w:val="0043299F"/>
    <w:rsid w:val="00432F94"/>
    <w:rsid w:val="00433752"/>
    <w:rsid w:val="00433CB2"/>
    <w:rsid w:val="004345C8"/>
    <w:rsid w:val="0043473D"/>
    <w:rsid w:val="00434E58"/>
    <w:rsid w:val="00434ED0"/>
    <w:rsid w:val="0043552A"/>
    <w:rsid w:val="00437447"/>
    <w:rsid w:val="00440C67"/>
    <w:rsid w:val="004410B9"/>
    <w:rsid w:val="00441829"/>
    <w:rsid w:val="00441A92"/>
    <w:rsid w:val="004427DC"/>
    <w:rsid w:val="00442A5F"/>
    <w:rsid w:val="004432F1"/>
    <w:rsid w:val="00443C63"/>
    <w:rsid w:val="00444B1D"/>
    <w:rsid w:val="00444F56"/>
    <w:rsid w:val="004452C3"/>
    <w:rsid w:val="00445828"/>
    <w:rsid w:val="004459B0"/>
    <w:rsid w:val="004459C8"/>
    <w:rsid w:val="004460DF"/>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AC5"/>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B8D"/>
    <w:rsid w:val="004A5256"/>
    <w:rsid w:val="004A574C"/>
    <w:rsid w:val="004A614C"/>
    <w:rsid w:val="004A7D0F"/>
    <w:rsid w:val="004B0802"/>
    <w:rsid w:val="004B0840"/>
    <w:rsid w:val="004B0924"/>
    <w:rsid w:val="004B09DB"/>
    <w:rsid w:val="004B0BE0"/>
    <w:rsid w:val="004B1049"/>
    <w:rsid w:val="004B1CED"/>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5CF"/>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3116"/>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07972"/>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4C8E"/>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1CE"/>
    <w:rsid w:val="005752DA"/>
    <w:rsid w:val="005764C7"/>
    <w:rsid w:val="00576734"/>
    <w:rsid w:val="00576784"/>
    <w:rsid w:val="0057762F"/>
    <w:rsid w:val="0058034B"/>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3E70"/>
    <w:rsid w:val="005B4C4E"/>
    <w:rsid w:val="005B4F4D"/>
    <w:rsid w:val="005B5493"/>
    <w:rsid w:val="005B5511"/>
    <w:rsid w:val="005B576D"/>
    <w:rsid w:val="005B5EAF"/>
    <w:rsid w:val="005B673A"/>
    <w:rsid w:val="005B6972"/>
    <w:rsid w:val="005B6D71"/>
    <w:rsid w:val="005B6F83"/>
    <w:rsid w:val="005C03C0"/>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095"/>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E7E34"/>
    <w:rsid w:val="005F2CB1"/>
    <w:rsid w:val="005F2D31"/>
    <w:rsid w:val="005F3E78"/>
    <w:rsid w:val="005F40F1"/>
    <w:rsid w:val="005F4108"/>
    <w:rsid w:val="005F589E"/>
    <w:rsid w:val="005F5C6B"/>
    <w:rsid w:val="005F5F41"/>
    <w:rsid w:val="005F618C"/>
    <w:rsid w:val="005F68AB"/>
    <w:rsid w:val="005F70BD"/>
    <w:rsid w:val="005F783A"/>
    <w:rsid w:val="005F7F27"/>
    <w:rsid w:val="006003CA"/>
    <w:rsid w:val="0060064D"/>
    <w:rsid w:val="00601F2D"/>
    <w:rsid w:val="0060251F"/>
    <w:rsid w:val="0060283C"/>
    <w:rsid w:val="00602B00"/>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51F2"/>
    <w:rsid w:val="006362D2"/>
    <w:rsid w:val="00636398"/>
    <w:rsid w:val="0063672F"/>
    <w:rsid w:val="006367D3"/>
    <w:rsid w:val="006368D3"/>
    <w:rsid w:val="006369E9"/>
    <w:rsid w:val="006377EC"/>
    <w:rsid w:val="00640E32"/>
    <w:rsid w:val="00640F0A"/>
    <w:rsid w:val="0064151F"/>
    <w:rsid w:val="00641533"/>
    <w:rsid w:val="006415B3"/>
    <w:rsid w:val="006417A9"/>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68"/>
    <w:rsid w:val="00650983"/>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280"/>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516"/>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1BA"/>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B55"/>
    <w:rsid w:val="006C5EC9"/>
    <w:rsid w:val="006C6059"/>
    <w:rsid w:val="006C65D0"/>
    <w:rsid w:val="006C6E36"/>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5CCC"/>
    <w:rsid w:val="006F71DC"/>
    <w:rsid w:val="006F796C"/>
    <w:rsid w:val="006F7B5A"/>
    <w:rsid w:val="006F7BC8"/>
    <w:rsid w:val="00700142"/>
    <w:rsid w:val="00700998"/>
    <w:rsid w:val="00701A05"/>
    <w:rsid w:val="00701B59"/>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854"/>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5918"/>
    <w:rsid w:val="00736143"/>
    <w:rsid w:val="007362A6"/>
    <w:rsid w:val="007362DB"/>
    <w:rsid w:val="00736AA2"/>
    <w:rsid w:val="00736D7D"/>
    <w:rsid w:val="007374F9"/>
    <w:rsid w:val="00737564"/>
    <w:rsid w:val="00737985"/>
    <w:rsid w:val="0074063A"/>
    <w:rsid w:val="00740E58"/>
    <w:rsid w:val="00741368"/>
    <w:rsid w:val="007427AE"/>
    <w:rsid w:val="007445A0"/>
    <w:rsid w:val="007451E7"/>
    <w:rsid w:val="0074524B"/>
    <w:rsid w:val="00746608"/>
    <w:rsid w:val="00746CE2"/>
    <w:rsid w:val="00746EAC"/>
    <w:rsid w:val="007471D5"/>
    <w:rsid w:val="007474A3"/>
    <w:rsid w:val="00747D8B"/>
    <w:rsid w:val="00751122"/>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1DE7"/>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09C8"/>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223"/>
    <w:rsid w:val="007F5988"/>
    <w:rsid w:val="007F6F91"/>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624C"/>
    <w:rsid w:val="00817196"/>
    <w:rsid w:val="0081757C"/>
    <w:rsid w:val="00817D6E"/>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973"/>
    <w:rsid w:val="00842A83"/>
    <w:rsid w:val="00842B22"/>
    <w:rsid w:val="0084371B"/>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9A0"/>
    <w:rsid w:val="00875CD7"/>
    <w:rsid w:val="00876329"/>
    <w:rsid w:val="008763D3"/>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3757"/>
    <w:rsid w:val="008B45A3"/>
    <w:rsid w:val="008B4D4B"/>
    <w:rsid w:val="008B5156"/>
    <w:rsid w:val="008B51A0"/>
    <w:rsid w:val="008B592A"/>
    <w:rsid w:val="008B5CDC"/>
    <w:rsid w:val="008B5D1A"/>
    <w:rsid w:val="008B6276"/>
    <w:rsid w:val="008B7465"/>
    <w:rsid w:val="008B7758"/>
    <w:rsid w:val="008B7B5C"/>
    <w:rsid w:val="008C035B"/>
    <w:rsid w:val="008C08D7"/>
    <w:rsid w:val="008C0C99"/>
    <w:rsid w:val="008C10C9"/>
    <w:rsid w:val="008C1C27"/>
    <w:rsid w:val="008C1F0E"/>
    <w:rsid w:val="008C1FC4"/>
    <w:rsid w:val="008C2017"/>
    <w:rsid w:val="008C280E"/>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696"/>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2F2"/>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5F6"/>
    <w:rsid w:val="00911DFB"/>
    <w:rsid w:val="009121B5"/>
    <w:rsid w:val="009125E0"/>
    <w:rsid w:val="009132C6"/>
    <w:rsid w:val="009137F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98B"/>
    <w:rsid w:val="00923BD4"/>
    <w:rsid w:val="0092533B"/>
    <w:rsid w:val="0092560F"/>
    <w:rsid w:val="00925878"/>
    <w:rsid w:val="00925CBD"/>
    <w:rsid w:val="00927AAE"/>
    <w:rsid w:val="00931BD9"/>
    <w:rsid w:val="00932130"/>
    <w:rsid w:val="00932952"/>
    <w:rsid w:val="00933367"/>
    <w:rsid w:val="0093353E"/>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830"/>
    <w:rsid w:val="00956901"/>
    <w:rsid w:val="009572D4"/>
    <w:rsid w:val="009615FF"/>
    <w:rsid w:val="0096173F"/>
    <w:rsid w:val="00961921"/>
    <w:rsid w:val="0096240B"/>
    <w:rsid w:val="0096355B"/>
    <w:rsid w:val="00963BD3"/>
    <w:rsid w:val="00963C1E"/>
    <w:rsid w:val="0096430A"/>
    <w:rsid w:val="00964464"/>
    <w:rsid w:val="0096460D"/>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7EB"/>
    <w:rsid w:val="009F3B1B"/>
    <w:rsid w:val="009F4088"/>
    <w:rsid w:val="009F753B"/>
    <w:rsid w:val="009F7BDB"/>
    <w:rsid w:val="009F7C5C"/>
    <w:rsid w:val="009F7DAD"/>
    <w:rsid w:val="009F7E85"/>
    <w:rsid w:val="00A00254"/>
    <w:rsid w:val="00A0026D"/>
    <w:rsid w:val="00A0039D"/>
    <w:rsid w:val="00A021CA"/>
    <w:rsid w:val="00A0293F"/>
    <w:rsid w:val="00A02D6D"/>
    <w:rsid w:val="00A04232"/>
    <w:rsid w:val="00A04367"/>
    <w:rsid w:val="00A047D2"/>
    <w:rsid w:val="00A048A8"/>
    <w:rsid w:val="00A04968"/>
    <w:rsid w:val="00A04DCB"/>
    <w:rsid w:val="00A05B47"/>
    <w:rsid w:val="00A06DB0"/>
    <w:rsid w:val="00A079D6"/>
    <w:rsid w:val="00A10FBB"/>
    <w:rsid w:val="00A110BC"/>
    <w:rsid w:val="00A112E3"/>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1A8"/>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3CE2"/>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0FF3"/>
    <w:rsid w:val="00AE150B"/>
    <w:rsid w:val="00AE1722"/>
    <w:rsid w:val="00AE1F6E"/>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5CA0"/>
    <w:rsid w:val="00AF643F"/>
    <w:rsid w:val="00AF6DA0"/>
    <w:rsid w:val="00B006FE"/>
    <w:rsid w:val="00B007CB"/>
    <w:rsid w:val="00B00A65"/>
    <w:rsid w:val="00B02AA9"/>
    <w:rsid w:val="00B02D93"/>
    <w:rsid w:val="00B02FA3"/>
    <w:rsid w:val="00B03281"/>
    <w:rsid w:val="00B05084"/>
    <w:rsid w:val="00B06080"/>
    <w:rsid w:val="00B076BB"/>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07D2"/>
    <w:rsid w:val="00B41888"/>
    <w:rsid w:val="00B4381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300"/>
    <w:rsid w:val="00B57004"/>
    <w:rsid w:val="00B57291"/>
    <w:rsid w:val="00B575E0"/>
    <w:rsid w:val="00B57A4E"/>
    <w:rsid w:val="00B57B83"/>
    <w:rsid w:val="00B57D38"/>
    <w:rsid w:val="00B57D49"/>
    <w:rsid w:val="00B57FF9"/>
    <w:rsid w:val="00B60BB3"/>
    <w:rsid w:val="00B60D11"/>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68"/>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67B1"/>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6B0"/>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17956"/>
    <w:rsid w:val="00C226CD"/>
    <w:rsid w:val="00C227E1"/>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634"/>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A49"/>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1948"/>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D49"/>
    <w:rsid w:val="00CB1F63"/>
    <w:rsid w:val="00CB2067"/>
    <w:rsid w:val="00CB37DE"/>
    <w:rsid w:val="00CB4899"/>
    <w:rsid w:val="00CB4D5A"/>
    <w:rsid w:val="00CB5AA0"/>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2BE"/>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C1A"/>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86"/>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B7AA7"/>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852"/>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005"/>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662"/>
    <w:rsid w:val="00E446F1"/>
    <w:rsid w:val="00E44802"/>
    <w:rsid w:val="00E4545A"/>
    <w:rsid w:val="00E45AFC"/>
    <w:rsid w:val="00E4661B"/>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9B5"/>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6EE7"/>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656"/>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0B65"/>
    <w:rsid w:val="00ED1006"/>
    <w:rsid w:val="00ED2A60"/>
    <w:rsid w:val="00ED3808"/>
    <w:rsid w:val="00ED454D"/>
    <w:rsid w:val="00ED4AFA"/>
    <w:rsid w:val="00ED635F"/>
    <w:rsid w:val="00ED6BD6"/>
    <w:rsid w:val="00ED6E55"/>
    <w:rsid w:val="00ED78C9"/>
    <w:rsid w:val="00EE0D13"/>
    <w:rsid w:val="00EE1D20"/>
    <w:rsid w:val="00EE1F98"/>
    <w:rsid w:val="00EE280C"/>
    <w:rsid w:val="00EE28F5"/>
    <w:rsid w:val="00EE35AB"/>
    <w:rsid w:val="00EE6B5A"/>
    <w:rsid w:val="00EE7795"/>
    <w:rsid w:val="00EE7CE1"/>
    <w:rsid w:val="00EF00FF"/>
    <w:rsid w:val="00EF18FE"/>
    <w:rsid w:val="00EF2981"/>
    <w:rsid w:val="00EF3591"/>
    <w:rsid w:val="00EF3AD5"/>
    <w:rsid w:val="00EF3D20"/>
    <w:rsid w:val="00EF53CD"/>
    <w:rsid w:val="00EF5787"/>
    <w:rsid w:val="00EF5E6B"/>
    <w:rsid w:val="00EF60D0"/>
    <w:rsid w:val="00EF684A"/>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17D79"/>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3FB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03E5"/>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0F4B"/>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0FF"/>
    <w:rsid w:val="00FB3344"/>
    <w:rsid w:val="00FB3775"/>
    <w:rsid w:val="00FB3CA6"/>
    <w:rsid w:val="00FB413D"/>
    <w:rsid w:val="00FB4C80"/>
    <w:rsid w:val="00FB5944"/>
    <w:rsid w:val="00FB5AE1"/>
    <w:rsid w:val="00FB6087"/>
    <w:rsid w:val="00FB6BA8"/>
    <w:rsid w:val="00FB7389"/>
    <w:rsid w:val="00FC186B"/>
    <w:rsid w:val="00FC1B12"/>
    <w:rsid w:val="00FC1DCB"/>
    <w:rsid w:val="00FC2019"/>
    <w:rsid w:val="00FC22FC"/>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42F"/>
    <w:rsid w:val="00FF1F6E"/>
    <w:rsid w:val="00FF25A2"/>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486"/>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rsid w:val="00AE0FF3"/>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b:Source>
    <b:Tag>RAN</b:Tag>
    <b:SourceType>Report</b:SourceType>
    <b:Guid>{CA465F62-A04F-443D-BF51-14016219DCAF}</b:Guid>
    <b:Title>RAN1#86bis Chairman’s Notes</b:Title>
    <b:RefOrder>1</b:RefOrder>
  </b:Source>
</b:Sources>
</file>

<file path=customXml/itemProps1.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C73310E9-59ED-4AFB-AEBD-AC62EED12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130</TotalTime>
  <Pages>5</Pages>
  <Words>1158</Words>
  <Characters>6039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7183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Taherzadeh, Mahmoud</cp:lastModifiedBy>
  <cp:revision>38</cp:revision>
  <cp:lastPrinted>2014-08-07T20:35:00Z</cp:lastPrinted>
  <dcterms:created xsi:type="dcterms:W3CDTF">2017-03-23T21:58:00Z</dcterms:created>
  <dcterms:modified xsi:type="dcterms:W3CDTF">2017-03-25T00:56:00Z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